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212529"/>
          <w:sz w:val="36"/>
        </w:rPr>
      </w:pPr>
      <w:r>
        <w:rPr>
          <w:rFonts w:ascii="Times New Roman;serif" w:hAnsi="Times New Roman;serif"/>
          <w:b/>
          <w:color w:val="212529"/>
          <w:sz w:val="36"/>
        </w:rPr>
        <w:t>UNITED STATES</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SECURITIES AND EXCHANGE COMMISSION</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Washington, D.C. 20549</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36"/>
        </w:rPr>
      </w:pPr>
      <w:r>
        <w:rPr>
          <w:rFonts w:ascii="Times New Roman;serif" w:hAnsi="Times New Roman;serif"/>
          <w:b/>
          <w:color w:val="212529"/>
          <w:sz w:val="36"/>
        </w:rPr>
        <w:t>FORM 8-K</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CURRENT REPORT</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Pursuant to Section 13 or 15(d)</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of the Securities Exchange Act of 1934</w:t>
      </w:r>
    </w:p>
    <w:p>
      <w:pPr>
        <w:pStyle w:val="TextBody"/>
        <w:bidi w:val="0"/>
        <w:spacing w:lineRule="auto" w:line="288" w:before="240" w:after="283"/>
        <w:jc w:val="center"/>
        <w:rPr>
          <w:rFonts w:ascii="Times New Roman;serif" w:hAnsi="Times New Roman;serif"/>
          <w:b/>
          <w:color w:val="212529"/>
          <w:sz w:val="24"/>
        </w:rPr>
      </w:pPr>
      <w:r>
        <w:rPr>
          <w:rFonts w:ascii="Times New Roman;serif" w:hAnsi="Times New Roman;serif"/>
          <w:b/>
          <w:color w:val="212529"/>
          <w:sz w:val="24"/>
        </w:rPr>
        <w:t>Date of Report (Date of earliest event reported)</w:t>
      </w:r>
    </w:p>
    <w:p>
      <w:pPr>
        <w:pStyle w:val="TextBody"/>
        <w:bidi w:val="0"/>
        <w:spacing w:lineRule="auto" w:line="288" w:before="0" w:after="0"/>
        <w:jc w:val="center"/>
        <w:rPr>
          <w:rFonts w:ascii="Times New Roman;serif" w:hAnsi="Times New Roman;serif"/>
          <w:b/>
          <w:color w:val="212529"/>
          <w:sz w:val="24"/>
        </w:rPr>
      </w:pPr>
      <w:r>
        <w:rPr>
          <w:rFonts w:ascii="Times New Roman;serif" w:hAnsi="Times New Roman;serif"/>
          <w:b/>
          <w:color w:val="212529"/>
          <w:sz w:val="24"/>
        </w:rPr>
        <w:t>July 31, 2026</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center"/>
        <w:rPr>
          <w:rFonts w:ascii="Times New Roman;serif" w:hAnsi="Times New Roman;serif"/>
          <w:b/>
          <w:color w:val="212529"/>
          <w:sz w:val="48"/>
        </w:rPr>
      </w:pPr>
      <w:r>
        <w:rPr>
          <w:rFonts w:ascii="Times New Roman;serif" w:hAnsi="Times New Roman;serif"/>
          <w:b/>
          <w:color w:val="212529"/>
          <w:sz w:val="48"/>
        </w:rPr>
        <w:t>BLACKLINE, INC.</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tbl>
      <w:tblPr>
        <w:tblW w:w="5602"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46-3354276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140" w:after="283"/>
        <w:jc w:val="center"/>
        <w:rPr/>
      </w:pPr>
      <w:r>
        <w:rPr>
          <w:rFonts w:ascii="Times New Roman;serif" w:hAnsi="Times New Roman;serif"/>
          <w:b/>
          <w:color w:val="212529"/>
          <w:sz w:val="20"/>
        </w:rPr>
        <w:t>21300 Victory Boulevard, 12</w:t>
      </w:r>
      <w:r>
        <w:rPr>
          <w:rFonts w:ascii="Times New Roman;serif" w:hAnsi="Times New Roman;serif"/>
          <w:b/>
          <w:color w:val="212529"/>
          <w:sz w:val="10"/>
        </w:rPr>
        <w:t>th</w:t>
      </w:r>
      <w:r>
        <w:rPr>
          <w:color w:val="212529"/>
        </w:rPr>
        <w:t> </w:t>
      </w:r>
      <w:r>
        <w:rPr>
          <w:rFonts w:ascii="Times New Roman;serif" w:hAnsi="Times New Roman;serif"/>
          <w:b/>
          <w:color w:val="212529"/>
          <w:sz w:val="20"/>
        </w:rPr>
        <w:t>Floor</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Woodland Hills, California 91367</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(Address of principal executive offices) (Zip Code)</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(818) 223-9008</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(Registrant’s telephone number, including area code)</w:t>
      </w:r>
    </w:p>
    <w:p>
      <w:pPr>
        <w:pStyle w:val="TextBody"/>
        <w:bidi w:val="0"/>
        <w:spacing w:lineRule="auto" w:line="288" w:before="240" w:after="283"/>
        <w:jc w:val="center"/>
        <w:rPr>
          <w:rFonts w:ascii="Times New Roman;serif" w:hAnsi="Times New Roman;serif"/>
          <w:b/>
          <w:color w:val="212529"/>
          <w:sz w:val="20"/>
        </w:rPr>
      </w:pPr>
      <w:r>
        <w:rPr>
          <w:rFonts w:ascii="Times New Roman;serif" w:hAnsi="Times New Roman;serif"/>
          <w:b/>
          <w:color w:val="212529"/>
          <w:sz w:val="20"/>
        </w:rPr>
        <w:t>Not Applicable</w:t>
      </w:r>
    </w:p>
    <w:p>
      <w:pPr>
        <w:pStyle w:val="TextBody"/>
        <w:bidi w:val="0"/>
        <w:spacing w:lineRule="auto" w:line="288" w:before="0" w:after="0"/>
        <w:jc w:val="center"/>
        <w:rPr>
          <w:rFonts w:ascii="Times New Roman;serif" w:hAnsi="Times New Roman;serif"/>
          <w:b/>
          <w:color w:val="212529"/>
          <w:sz w:val="16"/>
        </w:rPr>
      </w:pPr>
      <w:r>
        <w:rPr>
          <w:rFonts w:ascii="Times New Roman;serif" w:hAnsi="Times New Roman;serif"/>
          <w:b/>
          <w:color w:val="212529"/>
          <w:sz w:val="16"/>
        </w:rPr>
        <w:t>(Former name or former address, if changed since last report)</w:t>
      </w:r>
    </w:p>
    <w:p>
      <w:pPr>
        <w:pStyle w:val="TextBody"/>
        <w:bidi w:val="0"/>
        <w:spacing w:lineRule="auto" w:line="288" w:before="240" w:after="283"/>
        <w:jc w:val="center"/>
        <w:rPr>
          <w:rFonts w:ascii="Times New Roman;serif" w:hAnsi="Times New Roman;serif"/>
          <w:b w:val="false"/>
          <w:color w:val="212529"/>
          <w:sz w:val="20"/>
        </w:rPr>
      </w:pPr>
      <w:r>
        <w:rPr>
          <w:rFonts w:ascii="Times New Roman;serif" w:hAnsi="Times New Roman;serif"/>
          <w:b w:val="false"/>
          <w:color w:val="212529"/>
          <w:sz w:val="20"/>
        </w:rPr>
        <w:t>__________________________</w:t>
      </w:r>
    </w:p>
    <w:p>
      <w:pPr>
        <w:pStyle w:val="TextBody"/>
        <w:bidi w:val="0"/>
        <w:spacing w:lineRule="auto" w:line="288" w:before="24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6381" w:type="dxa"/>
        <w:jc w:val="left"/>
        <w:tblInd w:w="0" w:type="dxa"/>
        <w:tblLayout w:type="fixed"/>
        <w:tblCellMar>
          <w:top w:w="28" w:type="dxa"/>
          <w:left w:w="28" w:type="dxa"/>
          <w:bottom w:w="28" w:type="dxa"/>
          <w:right w:w="28" w:type="dxa"/>
        </w:tblCellMar>
      </w:tblPr>
      <w:tblGrid>
        <w:gridCol w:w="878"/>
        <w:gridCol w:w="770"/>
        <w:gridCol w:w="781"/>
        <w:gridCol w:w="109"/>
        <w:gridCol w:w="109"/>
        <w:gridCol w:w="109"/>
        <w:gridCol w:w="274"/>
        <w:gridCol w:w="274"/>
        <w:gridCol w:w="276"/>
        <w:gridCol w:w="109"/>
        <w:gridCol w:w="109"/>
        <w:gridCol w:w="109"/>
        <w:gridCol w:w="724"/>
        <w:gridCol w:w="724"/>
        <w:gridCol w:w="1026"/>
      </w:tblGrid>
      <w:tr>
        <w:trPr/>
        <w:tc>
          <w:tcPr>
            <w:tcW w:w="8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212529"/>
          <w:sz w:val="20"/>
        </w:rPr>
        <w:t>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212529"/>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20"/>
        </w:rPr>
      </w:pPr>
      <w:r>
        <w:rPr>
          <w:rFonts w:ascii="Times New Roman;serif" w:hAnsi="Times New Roman;serif"/>
          <w:b/>
          <w:color w:val="212529"/>
          <w:sz w:val="20"/>
        </w:rPr>
        <w:t>Item 8.01     Other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the board of directors (the “Board”) of BlackLine, Inc. (the “Company”) approved an increase to the Company’s stock buyback program (the “Stock Buyback Program”) of an additional $100 million, for a total overall authorization to repurchase up to $600 million of the Company’s common stock. As of August 3, 2026, the Company has repurchased 7.2 million shares, or $327.8 million, under the Stock Buyback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Repurchases may be made from time to time through open market repurchases or through privately negotiated transactions subject to market conditions, applicable legal requirements and other relevant factors. Open market repurchases may be structured to occur in accordance with the requirements of Rule 10b-18 of the Securities Exchange Act of 1934, as amended. The Company may also, from time to time, enter into Rule 10b5-1 plans to facilitate repurchases of its shares under this authorization. The repurchase program does not obligate the Company to acquire any particular amount of its Class A common stock, and it may be suspended at any time at the Company’s discretion. The timing and actual number of shares repurchased may depend on a variety of factors, including price, general business and market conditions, and alternative investment opportunities. The Stock Buyback Program may be suspended, terminated, amended or modified by the Board at any time without prior notice, at the Board’s discretion.</w:t>
      </w:r>
    </w:p>
    <w:p>
      <w:pPr>
        <w:pStyle w:val="TextBody"/>
        <w:bidi w:val="0"/>
        <w:spacing w:before="120" w:after="283"/>
        <w:ind w:left="0" w:right="0" w:firstLine="720"/>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SIGNATURES</w:t>
      </w:r>
    </w:p>
    <w:p>
      <w:pPr>
        <w:pStyle w:val="TextBody"/>
        <w:bidi w:val="0"/>
        <w:spacing w:lineRule="auto" w:line="288" w:before="240" w:after="283"/>
        <w:ind w:left="0" w:right="0" w:firstLine="540"/>
        <w:jc w:val="left"/>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report to be signed on its behalf by the undersigned hereunto duly authorized.</w:t>
      </w:r>
    </w:p>
    <w:tbl>
      <w:tblPr>
        <w:tblW w:w="5999" w:type="dxa"/>
        <w:jc w:val="left"/>
        <w:tblInd w:w="0" w:type="dxa"/>
        <w:tblLayout w:type="fixed"/>
        <w:tblCellMar>
          <w:top w:w="28" w:type="dxa"/>
          <w:left w:w="28" w:type="dxa"/>
          <w:bottom w:w="28" w:type="dxa"/>
          <w:right w:w="28" w:type="dxa"/>
        </w:tblCellMar>
      </w:tblPr>
      <w:tblGrid>
        <w:gridCol w:w="667"/>
        <w:gridCol w:w="587"/>
        <w:gridCol w:w="590"/>
        <w:gridCol w:w="280"/>
        <w:gridCol w:w="280"/>
        <w:gridCol w:w="280"/>
        <w:gridCol w:w="971"/>
        <w:gridCol w:w="971"/>
        <w:gridCol w:w="137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BLACKLINE,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Karole Morgan-Prager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Karole Morgan-Prager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and Administrative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3333</Characters>
  <CharactersWithSpaces>3857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