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______________________________________________________________</w:t>
      </w:r>
    </w:p>
    <w:p>
      <w:pPr>
        <w:pStyle w:val="TextBody"/>
        <w:bidi w:val="0"/>
        <w:spacing w:lineRule="auto" w:line="288" w:before="80" w:after="283"/>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______________________________________________________________</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QUARTERLY REPORT PURSUANT TO SECTION 13 OR 15(d) OF THE SECURITIES EXCHANGE ACT OF 1934</w:t>
            </w:r>
          </w:p>
        </w:tc>
      </w:tr>
    </w:tbl>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 xml:space="preserve">For the quarterly period ended June 30, 2026 </w:t>
      </w:r>
    </w:p>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20" w:after="283"/>
        <w:jc w:val="center"/>
        <w:rPr>
          <w:rFonts w:ascii="Arial;sans-serif" w:hAnsi="Arial;sans-serif"/>
          <w:b/>
          <w:color w:val="000000"/>
          <w:sz w:val="20"/>
        </w:rPr>
      </w:pPr>
      <w:r>
        <w:rPr>
          <w:rFonts w:ascii="Arial;sans-serif" w:hAnsi="Arial;sans-serif"/>
          <w:b/>
          <w:color w:val="000000"/>
          <w:sz w:val="20"/>
        </w:rPr>
        <w:t>Commission File Number: 001-37924</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______________________________________________________________</w:t>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BlackLine,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______________________________________________________________</w:t>
      </w:r>
    </w:p>
    <w:tbl>
      <w:tblPr>
        <w:tblW w:w="4094" w:type="dxa"/>
        <w:jc w:val="left"/>
        <w:tblInd w:w="0" w:type="dxa"/>
        <w:tblLayout w:type="fixed"/>
        <w:tblCellMar>
          <w:top w:w="28" w:type="dxa"/>
          <w:left w:w="28" w:type="dxa"/>
          <w:bottom w:w="28" w:type="dxa"/>
          <w:right w:w="28" w:type="dxa"/>
        </w:tblCellMar>
      </w:tblPr>
      <w:tblGrid>
        <w:gridCol w:w="911"/>
        <w:gridCol w:w="801"/>
        <w:gridCol w:w="808"/>
        <w:gridCol w:w="460"/>
        <w:gridCol w:w="460"/>
        <w:gridCol w:w="6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Delaware</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46-3354276</w:t>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21300 Victory Boulevard, 12th Floor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Woodland Hills, CA 91367</w:t>
      </w:r>
    </w:p>
    <w:p>
      <w:pPr>
        <w:pStyle w:val="TextBody"/>
        <w:bidi w:val="0"/>
        <w:spacing w:lineRule="auto" w:line="288" w:before="0" w:after="0"/>
        <w:jc w:val="center"/>
        <w:rPr/>
      </w:pPr>
      <w:r>
        <w:rPr>
          <w:rFonts w:ascii="Arial;sans-serif" w:hAnsi="Arial;sans-serif"/>
          <w:b/>
          <w:color w:val="000000"/>
          <w:sz w:val="16"/>
        </w:rPr>
        <w:t>(Address of principal executive offices, including zip code)</w:t>
      </w:r>
      <w:r>
        <w:rPr>
          <w:color w:val="000000"/>
        </w:rPr>
        <w:t>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(818) 223-9008</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______________________________________________________________</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63" w:type="dxa"/>
        <w:jc w:val="left"/>
        <w:tblInd w:w="0" w:type="dxa"/>
        <w:tblLayout w:type="fixed"/>
        <w:tblCellMar>
          <w:top w:w="28" w:type="dxa"/>
          <w:left w:w="28" w:type="dxa"/>
          <w:bottom w:w="28" w:type="dxa"/>
          <w:right w:w="28" w:type="dxa"/>
        </w:tblCellMar>
      </w:tblPr>
      <w:tblGrid>
        <w:gridCol w:w="1363"/>
        <w:gridCol w:w="1194"/>
        <w:gridCol w:w="1208"/>
        <w:gridCol w:w="564"/>
        <w:gridCol w:w="564"/>
        <w:gridCol w:w="566"/>
        <w:gridCol w:w="1170"/>
        <w:gridCol w:w="1170"/>
        <w:gridCol w:w="1664"/>
      </w:tblGrid>
      <w:tr>
        <w:trPr/>
        <w:tc>
          <w:tcPr>
            <w:tcW w:w="1363"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BL</w:t>
            </w:r>
          </w:p>
        </w:tc>
        <w:tc>
          <w:tcPr>
            <w:tcW w:w="40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NASDAQ Global Select Market</w:t>
            </w:r>
          </w:p>
        </w:tc>
      </w:tr>
    </w:tbl>
    <w:p>
      <w:pPr>
        <w:pStyle w:val="TextBody"/>
        <w:bidi w:val="0"/>
        <w:spacing w:lineRule="auto" w:line="288" w:before="8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rFonts w:ascii="Wingdings;sans-serif" w:hAnsi="Wingdings;sans-serif"/>
          <w:b w:val="false"/>
          <w:color w:val="000000"/>
          <w:sz w:val="20"/>
        </w:rPr>
        <w:t>o</w:t>
      </w:r>
    </w:p>
    <w:p>
      <w:pPr>
        <w:pStyle w:val="TextBody"/>
        <w:bidi w:val="0"/>
        <w:spacing w:lineRule="auto" w:line="288" w:before="8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rFonts w:ascii="Wingdings;sans-serif" w:hAnsi="Wingdings;sans-serif"/>
          <w:b w:val="false"/>
          <w:color w:val="000000"/>
          <w:sz w:val="20"/>
        </w:rPr>
        <w:t>o</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8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The number of shares of the registrant’s common stock outstanding at July 31, 2026 was 58,125,270.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20" w:after="283"/>
        <w:jc w:val="center"/>
        <w:rPr/>
      </w:pPr>
      <w:r>
        <w:rPr/>
      </w:r>
    </w:p>
    <w:tbl>
      <w:tblPr>
        <w:tblW w:w="10205" w:type="dxa"/>
        <w:jc w:val="left"/>
        <w:tblInd w:w="0" w:type="dxa"/>
        <w:tblLayout w:type="fixed"/>
        <w:tblCellMar>
          <w:top w:w="28" w:type="dxa"/>
          <w:left w:w="28" w:type="dxa"/>
          <w:bottom w:w="28" w:type="dxa"/>
          <w:right w:w="28" w:type="dxa"/>
        </w:tblCellMar>
      </w:tblPr>
      <w:tblGrid>
        <w:gridCol w:w="277"/>
        <w:gridCol w:w="242"/>
        <w:gridCol w:w="245"/>
        <w:gridCol w:w="3073"/>
        <w:gridCol w:w="2994"/>
        <w:gridCol w:w="2999"/>
        <w:gridCol w:w="109"/>
        <w:gridCol w:w="109"/>
        <w:gridCol w:w="157"/>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8e95c1f4ff7469eabc9d36a13216e92_13">
              <w:r>
                <w:rPr>
                  <w:rStyle w:val="InternetLink"/>
                  <w:rFonts w:ascii="Arial;sans-serif" w:hAnsi="Arial;sans-serif"/>
                  <w:b/>
                  <w:color w:val="0000FF"/>
                  <w:sz w:val="20"/>
                  <w:u w:val="single"/>
                </w:rPr>
                <w:t>Part I.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
              <w:r>
                <w:rPr>
                  <w:rStyle w:val="InternetLink"/>
                  <w:rFonts w:ascii="Arial;sans-serif" w:hAnsi="Arial;sans-serif"/>
                  <w:b w:val="false"/>
                  <w:strike w:val="false"/>
                  <w:dstrike w:val="false"/>
                  <w:color w:val="0F0000"/>
                  <w:sz w:val="20"/>
                  <w:u w:val="none"/>
                  <w:effect w:val="none"/>
                </w:rPr>
                <w:t>Item 1.</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
              <w:r>
                <w:rPr>
                  <w:rStyle w:val="InternetLink"/>
                  <w:rFonts w:ascii="Arial;sans-serif" w:hAnsi="Arial;sans-serif"/>
                  <w:b w:val="false"/>
                  <w:color w:val="0000FF"/>
                  <w:sz w:val="20"/>
                  <w:u w:val="single"/>
                </w:rPr>
                <w:t>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6">
              <w:r>
                <w:rPr>
                  <w:rStyle w:val="InternetLink"/>
                  <w:rFonts w:ascii="Arial;sans-serif" w:hAnsi="Arial;sans-serif"/>
                  <w:b w:val="false"/>
                  <w:strike w:val="false"/>
                  <w:dstrike w:val="false"/>
                  <w:color w:val="0F0000"/>
                  <w:sz w:val="20"/>
                  <w:u w:val="none"/>
                  <w:effect w:val="none"/>
                </w:rPr>
                <w:t>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9">
              <w:r>
                <w:rPr>
                  <w:rStyle w:val="InternetLink"/>
                  <w:rFonts w:ascii="Arial;sans-serif" w:hAnsi="Arial;sans-serif"/>
                  <w:b w:val="false"/>
                  <w:color w:val="0E32E1"/>
                  <w:sz w:val="20"/>
                  <w:u w:val="single"/>
                </w:rPr>
                <w:t xml:space="preserve">Unaudited Condensed Consolidated Balance Sheets at </w:t>
              </w:r>
            </w:hyperlink>
            <w:r>
              <w:rPr>
                <w:rFonts w:ascii="Arial;sans-serif" w:hAnsi="Arial;sans-serif"/>
                <w:b w:val="false"/>
                <w:color w:val="3051F2"/>
                <w:sz w:val="20"/>
                <w:u w:val="single"/>
              </w:rPr>
              <w:t>June 30, 2026</w:t>
            </w:r>
            <w:hyperlink w:anchor="i18e95c1f4ff7469eabc9d36a13216e92_19">
              <w:r>
                <w:rPr>
                  <w:rStyle w:val="InternetLink"/>
                  <w:color w:val="0E32E1"/>
                  <w:u w:val="single"/>
                </w:rPr>
                <w:t xml:space="preserve"> </w:t>
              </w:r>
            </w:hyperlink>
            <w:hyperlink w:anchor="i18e95c1f4ff7469eabc9d36a13216e92_19">
              <w:r>
                <w:rPr>
                  <w:rStyle w:val="InternetLink"/>
                  <w:rFonts w:ascii="Arial;sans-serif" w:hAnsi="Arial;sans-serif"/>
                  <w:b w:val="false"/>
                  <w:color w:val="0E32E1"/>
                  <w:sz w:val="20"/>
                  <w:u w:val="single"/>
                </w:rPr>
                <w:t xml:space="preserve">and </w:t>
              </w:r>
            </w:hyperlink>
            <w:r>
              <w:rPr>
                <w:rFonts w:ascii="Arial;sans-serif" w:hAnsi="Arial;sans-serif"/>
                <w:b w:val="false"/>
                <w:color w:val="3051F2"/>
                <w:sz w:val="20"/>
                <w:u w:val="single"/>
              </w:rPr>
              <w:t>December 31, 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9">
              <w:r>
                <w:rPr>
                  <w:rStyle w:val="InternetLink"/>
                  <w:rFonts w:ascii="Arial;sans-serif" w:hAnsi="Arial;sans-serif"/>
                  <w:b w:val="false"/>
                  <w:strike w:val="false"/>
                  <w:dstrike w:val="false"/>
                  <w:color w:val="0F0000"/>
                  <w:sz w:val="20"/>
                  <w:u w:val="none"/>
                  <w:effect w:val="none"/>
                </w:rPr>
                <w:t>4</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22">
              <w:r>
                <w:rPr>
                  <w:rStyle w:val="InternetLink"/>
                  <w:rFonts w:ascii="Arial;sans-serif" w:hAnsi="Arial;sans-serif"/>
                  <w:b w:val="false"/>
                  <w:color w:val="000080"/>
                  <w:sz w:val="20"/>
                  <w:u w:val="single"/>
                </w:rPr>
                <w:t>Unaudited Condensed Consolidated Statements of Operations for the Quarters</w:t>
              </w:r>
            </w:hyperlink>
            <w:hyperlink w:anchor="i18e95c1f4ff7469eabc9d36a13216e92_22">
              <w:r>
                <w:rPr>
                  <w:rStyle w:val="InternetLink"/>
                  <w:rFonts w:ascii="Arial;sans-serif" w:hAnsi="Arial;sans-serif"/>
                  <w:b w:val="false"/>
                  <w:color w:val="000080"/>
                  <w:sz w:val="20"/>
                  <w:u w:val="single"/>
                </w:rPr>
                <w:t xml:space="preserve"> and Six Months</w:t>
              </w:r>
            </w:hyperlink>
            <w:hyperlink w:anchor="i18e95c1f4ff7469eabc9d36a13216e92_22">
              <w:r>
                <w:rPr>
                  <w:rStyle w:val="InternetLink"/>
                  <w:rFonts w:ascii="Arial;sans-serif" w:hAnsi="Arial;sans-serif"/>
                  <w:b w:val="false"/>
                  <w:color w:val="000080"/>
                  <w:sz w:val="20"/>
                  <w:u w:val="single"/>
                </w:rPr>
                <w:t xml:space="preserve"> Ended </w:t>
              </w:r>
            </w:hyperlink>
            <w:r>
              <w:rPr>
                <w:rFonts w:ascii="Arial;sans-serif" w:hAnsi="Arial;sans-serif"/>
                <w:b w:val="false"/>
                <w:color w:val="3051F2"/>
                <w:sz w:val="20"/>
                <w:u w:val="single"/>
              </w:rPr>
              <w:t>June 30, 2026</w:t>
            </w:r>
            <w:hyperlink w:anchor="i18e95c1f4ff7469eabc9d36a13216e92_22">
              <w:r>
                <w:rPr>
                  <w:rStyle w:val="InternetLink"/>
                  <w:color w:val="0E32E1"/>
                  <w:u w:val="single"/>
                </w:rPr>
                <w:t xml:space="preserve"> </w:t>
              </w:r>
            </w:hyperlink>
            <w:hyperlink w:anchor="i18e95c1f4ff7469eabc9d36a13216e92_22">
              <w:r>
                <w:rPr>
                  <w:rStyle w:val="InternetLink"/>
                  <w:rFonts w:ascii="Arial;sans-serif" w:hAnsi="Arial;sans-serif"/>
                  <w:b w:val="false"/>
                  <w:color w:val="0E32E1"/>
                  <w:sz w:val="20"/>
                  <w:u w:val="single"/>
                </w:rPr>
                <w:t>and</w:t>
              </w:r>
            </w:hyperlink>
            <w:r>
              <w:rPr>
                <w:rFonts w:ascii="Arial;sans-serif" w:hAnsi="Arial;sans-serif"/>
                <w:b w:val="false"/>
                <w:color w:val="0E32E1"/>
                <w:sz w:val="20"/>
                <w:u w:val="single"/>
              </w:rPr>
              <w:t xml:space="preserve"> </w:t>
            </w:r>
            <w:r>
              <w:rPr>
                <w:rFonts w:ascii="Arial;sans-serif" w:hAnsi="Arial;sans-serif"/>
                <w:b w:val="false"/>
                <w:color w:val="3051F2"/>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22">
              <w:r>
                <w:rPr>
                  <w:rStyle w:val="InternetLink"/>
                  <w:rFonts w:ascii="Arial;sans-serif" w:hAnsi="Arial;sans-serif"/>
                  <w:b w:val="false"/>
                  <w:strike w:val="false"/>
                  <w:dstrike w:val="false"/>
                  <w:color w:val="0F0000"/>
                  <w:sz w:val="20"/>
                  <w:u w:val="none"/>
                  <w:effect w:val="none"/>
                </w:rPr>
                <w:t>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25">
              <w:r>
                <w:rPr>
                  <w:rStyle w:val="InternetLink"/>
                  <w:rFonts w:ascii="Arial;sans-serif" w:hAnsi="Arial;sans-serif"/>
                  <w:b w:val="false"/>
                  <w:color w:val="000080"/>
                  <w:sz w:val="20"/>
                  <w:u w:val="single"/>
                </w:rPr>
                <w:t xml:space="preserve">Unaudited Condensed Consolidated Statements of Comprehensive Income for the </w:t>
              </w:r>
            </w:hyperlink>
            <w:hyperlink w:anchor="i18e95c1f4ff7469eabc9d36a13216e92_22">
              <w:r>
                <w:rPr>
                  <w:rStyle w:val="InternetLink"/>
                  <w:rFonts w:ascii="Arial;sans-serif" w:hAnsi="Arial;sans-serif"/>
                  <w:b w:val="false"/>
                  <w:color w:val="000080"/>
                  <w:sz w:val="20"/>
                  <w:u w:val="single"/>
                </w:rPr>
                <w:t xml:space="preserve">Quarters </w:t>
              </w:r>
            </w:hyperlink>
            <w:hyperlink w:anchor="i18e95c1f4ff7469eabc9d36a13216e92_22">
              <w:r>
                <w:rPr>
                  <w:rStyle w:val="InternetLink"/>
                  <w:rFonts w:ascii="Arial;sans-serif" w:hAnsi="Arial;sans-serif"/>
                  <w:b w:val="false"/>
                  <w:color w:val="000080"/>
                  <w:sz w:val="20"/>
                  <w:u w:val="single"/>
                </w:rPr>
                <w:t>a</w:t>
              </w:r>
            </w:hyperlink>
            <w:r>
              <w:rPr>
                <w:rFonts w:ascii="Arial;sans-serif" w:hAnsi="Arial;sans-serif"/>
                <w:b w:val="false"/>
                <w:color w:val="0E32E1"/>
                <w:sz w:val="20"/>
                <w:u w:val="single"/>
              </w:rPr>
              <w:t xml:space="preserve">nd Six Months Ended </w:t>
            </w:r>
            <w:r>
              <w:rPr>
                <w:rFonts w:ascii="Arial;sans-serif" w:hAnsi="Arial;sans-serif"/>
                <w:b w:val="false"/>
                <w:color w:val="3051F2"/>
                <w:sz w:val="20"/>
                <w:u w:val="single"/>
              </w:rPr>
              <w:t>June 30, 2026</w:t>
            </w:r>
            <w:hyperlink w:anchor="i18e95c1f4ff7469eabc9d36a13216e92_22">
              <w:r>
                <w:rPr>
                  <w:rStyle w:val="InternetLink"/>
                  <w:color w:val="0E32E1"/>
                  <w:u w:val="single"/>
                </w:rPr>
                <w:t xml:space="preserve"> </w:t>
              </w:r>
            </w:hyperlink>
            <w:hyperlink w:anchor="i18e95c1f4ff7469eabc9d36a13216e92_22">
              <w:r>
                <w:rPr>
                  <w:rStyle w:val="InternetLink"/>
                  <w:rFonts w:ascii="Arial;sans-serif" w:hAnsi="Arial;sans-serif"/>
                  <w:b w:val="false"/>
                  <w:color w:val="0E32E1"/>
                  <w:sz w:val="20"/>
                  <w:u w:val="single"/>
                </w:rPr>
                <w:t xml:space="preserve">and </w:t>
              </w:r>
            </w:hyperlink>
            <w:r>
              <w:rPr>
                <w:rFonts w:ascii="Arial;sans-serif" w:hAnsi="Arial;sans-serif"/>
                <w:b w:val="false"/>
                <w:color w:val="3051F2"/>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25">
              <w:r>
                <w:rPr>
                  <w:rStyle w:val="InternetLink"/>
                  <w:rFonts w:ascii="Arial;sans-serif" w:hAnsi="Arial;sans-serif"/>
                  <w:b w:val="false"/>
                  <w:strike w:val="false"/>
                  <w:dstrike w:val="false"/>
                  <w:color w:val="0F0000"/>
                  <w:sz w:val="20"/>
                  <w:u w:val="none"/>
                  <w:effect w:val="none"/>
                </w:rPr>
                <w:t>6</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28">
              <w:r>
                <w:rPr>
                  <w:rStyle w:val="InternetLink"/>
                  <w:rFonts w:ascii="Arial;sans-serif" w:hAnsi="Arial;sans-serif"/>
                  <w:b w:val="false"/>
                  <w:color w:val="000080"/>
                  <w:sz w:val="20"/>
                  <w:u w:val="single"/>
                </w:rPr>
                <w:t xml:space="preserve">Unaudited Condensed Consolidated Statements of Stockholders’ Equity for the </w:t>
              </w:r>
            </w:hyperlink>
            <w:hyperlink w:anchor="i18e95c1f4ff7469eabc9d36a13216e92_22">
              <w:r>
                <w:rPr>
                  <w:rStyle w:val="InternetLink"/>
                  <w:rFonts w:ascii="Arial;sans-serif" w:hAnsi="Arial;sans-serif"/>
                  <w:b w:val="false"/>
                  <w:color w:val="000080"/>
                  <w:sz w:val="20"/>
                  <w:u w:val="single"/>
                </w:rPr>
                <w:t xml:space="preserve">Quarters </w:t>
              </w:r>
            </w:hyperlink>
            <w:hyperlink w:anchor="i18e95c1f4ff7469eabc9d36a13216e92_22">
              <w:r>
                <w:rPr>
                  <w:rStyle w:val="InternetLink"/>
                  <w:rFonts w:ascii="Arial;sans-serif" w:hAnsi="Arial;sans-serif"/>
                  <w:b w:val="false"/>
                  <w:color w:val="000080"/>
                  <w:sz w:val="20"/>
                  <w:u w:val="single"/>
                </w:rPr>
                <w:t xml:space="preserve">and Six Months </w:t>
              </w:r>
            </w:hyperlink>
            <w:hyperlink w:anchor="i18e95c1f4ff7469eabc9d36a13216e92_22">
              <w:r>
                <w:rPr>
                  <w:rStyle w:val="InternetLink"/>
                  <w:rFonts w:ascii="Arial;sans-serif" w:hAnsi="Arial;sans-serif"/>
                  <w:b w:val="false"/>
                  <w:color w:val="000080"/>
                  <w:sz w:val="20"/>
                  <w:u w:val="single"/>
                </w:rPr>
                <w:t xml:space="preserve">Ended </w:t>
              </w:r>
            </w:hyperlink>
            <w:r>
              <w:rPr>
                <w:rFonts w:ascii="Arial;sans-serif" w:hAnsi="Arial;sans-serif"/>
                <w:b w:val="false"/>
                <w:color w:val="3051F2"/>
                <w:sz w:val="20"/>
                <w:u w:val="single"/>
              </w:rPr>
              <w:t>June 30, 2026</w:t>
            </w:r>
            <w:hyperlink w:anchor="i18e95c1f4ff7469eabc9d36a13216e92_22">
              <w:r>
                <w:rPr>
                  <w:rStyle w:val="InternetLink"/>
                  <w:color w:val="0E32E1"/>
                  <w:u w:val="single"/>
                </w:rPr>
                <w:t xml:space="preserve"> </w:t>
              </w:r>
            </w:hyperlink>
            <w:hyperlink w:anchor="i18e95c1f4ff7469eabc9d36a13216e92_22">
              <w:r>
                <w:rPr>
                  <w:rStyle w:val="InternetLink"/>
                  <w:rFonts w:ascii="Arial;sans-serif" w:hAnsi="Arial;sans-serif"/>
                  <w:b w:val="false"/>
                  <w:color w:val="0E32E1"/>
                  <w:sz w:val="20"/>
                  <w:u w:val="single"/>
                </w:rPr>
                <w:t xml:space="preserve">and </w:t>
              </w:r>
            </w:hyperlink>
            <w:r>
              <w:rPr>
                <w:rFonts w:ascii="Arial;sans-serif" w:hAnsi="Arial;sans-serif"/>
                <w:b w:val="false"/>
                <w:color w:val="3051F2"/>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28">
              <w:r>
                <w:rPr>
                  <w:rStyle w:val="InternetLink"/>
                  <w:rFonts w:ascii="Arial;sans-serif" w:hAnsi="Arial;sans-serif"/>
                  <w:b w:val="false"/>
                  <w:strike w:val="false"/>
                  <w:dstrike w:val="false"/>
                  <w:color w:val="0F0000"/>
                  <w:sz w:val="20"/>
                  <w:u w:val="none"/>
                  <w:effect w:val="none"/>
                </w:rPr>
                <w:t>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37">
              <w:r>
                <w:rPr>
                  <w:rStyle w:val="InternetLink"/>
                  <w:rFonts w:ascii="Arial;sans-serif" w:hAnsi="Arial;sans-serif"/>
                  <w:b w:val="false"/>
                  <w:color w:val="000080"/>
                  <w:sz w:val="20"/>
                  <w:u w:val="single"/>
                </w:rPr>
                <w:t>Unaudited Condensed Consolidated Statements of Cash Flows for the</w:t>
              </w:r>
            </w:hyperlink>
            <w:hyperlink w:anchor="i18e95c1f4ff7469eabc9d36a13216e92_22">
              <w:r>
                <w:rPr>
                  <w:rStyle w:val="InternetLink"/>
                  <w:rFonts w:ascii="Arial;sans-serif" w:hAnsi="Arial;sans-serif"/>
                  <w:b w:val="false"/>
                  <w:color w:val="000080"/>
                  <w:sz w:val="20"/>
                  <w:u w:val="single"/>
                </w:rPr>
                <w:t xml:space="preserve"> </w:t>
              </w:r>
            </w:hyperlink>
            <w:hyperlink w:anchor="i18e95c1f4ff7469eabc9d36a13216e92_22">
              <w:r>
                <w:rPr>
                  <w:rStyle w:val="InternetLink"/>
                  <w:rFonts w:ascii="Arial;sans-serif" w:hAnsi="Arial;sans-serif"/>
                  <w:b w:val="false"/>
                  <w:color w:val="000080"/>
                  <w:sz w:val="20"/>
                  <w:u w:val="single"/>
                </w:rPr>
                <w:t>Six Months</w:t>
              </w:r>
            </w:hyperlink>
            <w:hyperlink w:anchor="i18e95c1f4ff7469eabc9d36a13216e92_22">
              <w:r>
                <w:rPr>
                  <w:rStyle w:val="InternetLink"/>
                  <w:rFonts w:ascii="Arial;sans-serif" w:hAnsi="Arial;sans-serif"/>
                  <w:b w:val="false"/>
                  <w:color w:val="000080"/>
                  <w:sz w:val="20"/>
                  <w:u w:val="single"/>
                </w:rPr>
                <w:t xml:space="preserve"> Ended </w:t>
              </w:r>
            </w:hyperlink>
            <w:r>
              <w:rPr>
                <w:rFonts w:ascii="Arial;sans-serif" w:hAnsi="Arial;sans-serif"/>
                <w:b w:val="false"/>
                <w:color w:val="3051F2"/>
                <w:sz w:val="20"/>
                <w:u w:val="single"/>
              </w:rPr>
              <w:t>June 30, 2026</w:t>
            </w:r>
            <w:hyperlink w:anchor="i18e95c1f4ff7469eabc9d36a13216e92_22">
              <w:r>
                <w:rPr>
                  <w:rStyle w:val="InternetLink"/>
                  <w:color w:val="0E32E1"/>
                  <w:u w:val="single"/>
                </w:rPr>
                <w:t xml:space="preserve"> </w:t>
              </w:r>
            </w:hyperlink>
            <w:hyperlink w:anchor="i18e95c1f4ff7469eabc9d36a13216e92_22">
              <w:r>
                <w:rPr>
                  <w:rStyle w:val="InternetLink"/>
                  <w:rFonts w:ascii="Arial;sans-serif" w:hAnsi="Arial;sans-serif"/>
                  <w:b w:val="false"/>
                  <w:color w:val="0E32E1"/>
                  <w:sz w:val="20"/>
                  <w:u w:val="single"/>
                </w:rPr>
                <w:t xml:space="preserve">and </w:t>
              </w:r>
            </w:hyperlink>
            <w:r>
              <w:rPr>
                <w:rFonts w:ascii="Arial;sans-serif" w:hAnsi="Arial;sans-serif"/>
                <w:b w:val="false"/>
                <w:color w:val="3051F2"/>
                <w:sz w:val="20"/>
                <w:u w:val="single"/>
              </w:rPr>
              <w:t>2025</w:t>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37">
              <w:r>
                <w:rPr>
                  <w:rStyle w:val="InternetLink"/>
                  <w:rFonts w:ascii="Arial;sans-serif" w:hAnsi="Arial;sans-serif"/>
                  <w:b w:val="false"/>
                  <w:strike w:val="false"/>
                  <w:dstrike w:val="false"/>
                  <w:color w:val="0F0000"/>
                  <w:sz w:val="20"/>
                  <w:u w:val="none"/>
                  <w:effect w:val="none"/>
                </w:rPr>
                <w:t>9</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40">
              <w:r>
                <w:rPr>
                  <w:rStyle w:val="InternetLink"/>
                  <w:rFonts w:ascii="Arial;sans-serif" w:hAnsi="Arial;sans-serif"/>
                  <w:b w:val="false"/>
                  <w:color w:val="0000FF"/>
                  <w:sz w:val="20"/>
                  <w:u w:val="single"/>
                </w:rPr>
                <w:t>Notes to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40">
              <w:r>
                <w:rPr>
                  <w:rStyle w:val="InternetLink"/>
                  <w:rFonts w:ascii="Arial;sans-serif" w:hAnsi="Arial;sans-serif"/>
                  <w:b w:val="false"/>
                  <w:strike w:val="false"/>
                  <w:dstrike w:val="false"/>
                  <w:color w:val="0F0000"/>
                  <w:sz w:val="20"/>
                  <w:u w:val="none"/>
                  <w:effect w:val="none"/>
                </w:rPr>
                <w:t>11</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97">
              <w:r>
                <w:rPr>
                  <w:rStyle w:val="InternetLink"/>
                  <w:rFonts w:ascii="Arial;sans-serif" w:hAnsi="Arial;sans-serif"/>
                  <w:b w:val="false"/>
                  <w:strike w:val="false"/>
                  <w:dstrike w:val="false"/>
                  <w:color w:val="0F0000"/>
                  <w:sz w:val="20"/>
                  <w:u w:val="none"/>
                  <w:effect w:val="none"/>
                </w:rPr>
                <w:t>Item 2.</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97">
              <w:r>
                <w:rPr>
                  <w:rStyle w:val="InternetLink"/>
                  <w:rFonts w:ascii="Arial;sans-serif" w:hAnsi="Arial;sans-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97">
              <w:r>
                <w:rPr>
                  <w:rStyle w:val="InternetLink"/>
                  <w:rFonts w:ascii="Arial;sans-serif" w:hAnsi="Arial;sans-serif"/>
                  <w:b w:val="false"/>
                  <w:strike w:val="false"/>
                  <w:dstrike w:val="false"/>
                  <w:color w:val="0F0000"/>
                  <w:sz w:val="20"/>
                  <w:u w:val="none"/>
                  <w:effect w:val="none"/>
                </w:rPr>
                <w:t>23</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3">
              <w:r>
                <w:rPr>
                  <w:rStyle w:val="InternetLink"/>
                  <w:rFonts w:ascii="Arial;sans-serif" w:hAnsi="Arial;sans-serif"/>
                  <w:b w:val="false"/>
                  <w:strike w:val="false"/>
                  <w:dstrike w:val="false"/>
                  <w:color w:val="0F0000"/>
                  <w:sz w:val="20"/>
                  <w:u w:val="none"/>
                  <w:effect w:val="none"/>
                </w:rPr>
                <w:t>Item 3.</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3">
              <w:r>
                <w:rPr>
                  <w:rStyle w:val="InternetLink"/>
                  <w:rFonts w:ascii="Arial;sans-serif" w:hAnsi="Arial;sans-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63">
              <w:r>
                <w:rPr>
                  <w:rStyle w:val="InternetLink"/>
                  <w:rFonts w:ascii="Arial;sans-serif" w:hAnsi="Arial;sans-serif"/>
                  <w:b w:val="false"/>
                  <w:strike w:val="false"/>
                  <w:dstrike w:val="false"/>
                  <w:color w:val="0F0000"/>
                  <w:sz w:val="20"/>
                  <w:u w:val="none"/>
                  <w:effect w:val="none"/>
                </w:rPr>
                <w:t>35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6">
              <w:r>
                <w:rPr>
                  <w:rStyle w:val="InternetLink"/>
                  <w:rFonts w:ascii="Arial;sans-serif" w:hAnsi="Arial;sans-serif"/>
                  <w:b w:val="false"/>
                  <w:strike w:val="false"/>
                  <w:dstrike w:val="false"/>
                  <w:color w:val="0F0000"/>
                  <w:sz w:val="20"/>
                  <w:u w:val="none"/>
                  <w:effect w:val="none"/>
                </w:rPr>
                <w:t>Item 4.</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66">
              <w:r>
                <w:rPr>
                  <w:rStyle w:val="InternetLink"/>
                  <w:rFonts w:ascii="Arial;sans-serif" w:hAnsi="Arial;sans-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66">
              <w:r>
                <w:rPr>
                  <w:rStyle w:val="InternetLink"/>
                  <w:rFonts w:ascii="Arial;sans-serif" w:hAnsi="Arial;sans-serif"/>
                  <w:b w:val="false"/>
                  <w:strike w:val="false"/>
                  <w:dstrike w:val="false"/>
                  <w:color w:val="0F0000"/>
                  <w:sz w:val="20"/>
                  <w:u w:val="none"/>
                  <w:effect w:val="none"/>
                </w:rPr>
                <w:t>37</w:t>
              </w:r>
            </w:hyperlink>
          </w:p>
        </w:tc>
      </w:tr>
      <w:tr>
        <w:trPr/>
        <w:tc>
          <w:tcPr>
            <w:tcW w:w="9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8e95c1f4ff7469eabc9d36a13216e92_169">
              <w:r>
                <w:rPr>
                  <w:rStyle w:val="InternetLink"/>
                  <w:rFonts w:ascii="Arial;sans-serif" w:hAnsi="Arial;sans-serif"/>
                  <w:b/>
                  <w:color w:val="0000FF"/>
                  <w:sz w:val="20"/>
                  <w:u w:val="single"/>
                </w:rPr>
                <w:t>Part II. Other Information</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2">
              <w:r>
                <w:rPr>
                  <w:rStyle w:val="InternetLink"/>
                  <w:rFonts w:ascii="Arial;sans-serif" w:hAnsi="Arial;sans-serif"/>
                  <w:b w:val="false"/>
                  <w:strike w:val="false"/>
                  <w:dstrike w:val="false"/>
                  <w:color w:val="0F0000"/>
                  <w:sz w:val="20"/>
                  <w:u w:val="none"/>
                  <w:effect w:val="none"/>
                </w:rPr>
                <w:t>Item 1.</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2">
              <w:r>
                <w:rPr>
                  <w:rStyle w:val="InternetLink"/>
                  <w:rFonts w:ascii="Arial;sans-serif" w:hAnsi="Arial;sans-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72">
              <w:r>
                <w:rPr>
                  <w:rStyle w:val="InternetLink"/>
                  <w:rFonts w:ascii="Arial;sans-serif" w:hAnsi="Arial;sans-serif"/>
                  <w:b w:val="false"/>
                  <w:strike w:val="false"/>
                  <w:dstrike w:val="false"/>
                  <w:color w:val="0F0000"/>
                  <w:sz w:val="20"/>
                  <w:u w:val="none"/>
                  <w:effect w:val="none"/>
                </w:rPr>
                <w:t>37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5">
              <w:r>
                <w:rPr>
                  <w:rStyle w:val="InternetLink"/>
                  <w:rFonts w:ascii="Arial;sans-serif" w:hAnsi="Arial;sans-serif"/>
                  <w:b w:val="false"/>
                  <w:strike w:val="false"/>
                  <w:dstrike w:val="false"/>
                  <w:color w:val="0F0000"/>
                  <w:sz w:val="20"/>
                  <w:u w:val="none"/>
                  <w:effect w:val="none"/>
                </w:rPr>
                <w:t>Item 1A.</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5">
              <w:r>
                <w:rPr>
                  <w:rStyle w:val="InternetLink"/>
                  <w:rFonts w:ascii="Arial;sans-serif" w:hAnsi="Arial;sans-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75">
              <w:r>
                <w:rPr>
                  <w:rStyle w:val="InternetLink"/>
                  <w:rFonts w:ascii="Arial;sans-serif" w:hAnsi="Arial;sans-serif"/>
                  <w:b w:val="false"/>
                  <w:strike w:val="false"/>
                  <w:dstrike w:val="false"/>
                  <w:color w:val="0F0000"/>
                  <w:sz w:val="20"/>
                  <w:u w:val="none"/>
                  <w:effect w:val="none"/>
                </w:rPr>
                <w:t>37</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8">
              <w:r>
                <w:rPr>
                  <w:rStyle w:val="InternetLink"/>
                  <w:rFonts w:ascii="Arial;sans-serif" w:hAnsi="Arial;sans-serif"/>
                  <w:b w:val="false"/>
                  <w:strike w:val="false"/>
                  <w:dstrike w:val="false"/>
                  <w:color w:val="0F0000"/>
                  <w:sz w:val="20"/>
                  <w:u w:val="none"/>
                  <w:effect w:val="none"/>
                </w:rPr>
                <w:t>Item 2.</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78">
              <w:r>
                <w:rPr>
                  <w:rStyle w:val="InternetLink"/>
                  <w:rFonts w:ascii="Arial;sans-serif" w:hAnsi="Arial;sans-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78">
              <w:r>
                <w:rPr>
                  <w:rStyle w:val="InternetLink"/>
                  <w:rFonts w:ascii="Arial;sans-serif" w:hAnsi="Arial;sans-serif"/>
                  <w:b w:val="false"/>
                  <w:strike w:val="false"/>
                  <w:dstrike w:val="false"/>
                  <w:color w:val="0F0000"/>
                  <w:sz w:val="20"/>
                  <w:u w:val="none"/>
                  <w:effect w:val="none"/>
                </w:rPr>
                <w:t>65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81">
              <w:r>
                <w:rPr>
                  <w:rStyle w:val="InternetLink"/>
                  <w:rFonts w:ascii="Arial;sans-serif" w:hAnsi="Arial;sans-serif"/>
                  <w:b w:val="false"/>
                  <w:strike w:val="false"/>
                  <w:dstrike w:val="false"/>
                  <w:color w:val="0F0000"/>
                  <w:sz w:val="20"/>
                  <w:u w:val="none"/>
                  <w:effect w:val="none"/>
                </w:rPr>
                <w:t>Item 5.</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81">
              <w:r>
                <w:rPr>
                  <w:rStyle w:val="InternetLink"/>
                  <w:rFonts w:ascii="Arial;sans-serif" w:hAnsi="Arial;sans-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81">
              <w:r>
                <w:rPr>
                  <w:rStyle w:val="InternetLink"/>
                  <w:rFonts w:ascii="Arial;sans-serif" w:hAnsi="Arial;sans-serif"/>
                  <w:b w:val="false"/>
                  <w:strike w:val="false"/>
                  <w:dstrike w:val="false"/>
                  <w:color w:val="0F0000"/>
                  <w:sz w:val="20"/>
                  <w:u w:val="none"/>
                  <w:effect w:val="none"/>
                </w:rPr>
                <w:t>65</w:t>
              </w:r>
            </w:hyperlink>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87">
              <w:r>
                <w:rPr>
                  <w:rStyle w:val="InternetLink"/>
                  <w:rFonts w:ascii="Arial;sans-serif" w:hAnsi="Arial;sans-serif"/>
                  <w:b w:val="false"/>
                  <w:strike w:val="false"/>
                  <w:dstrike w:val="false"/>
                  <w:color w:val="0F0000"/>
                  <w:sz w:val="20"/>
                  <w:u w:val="none"/>
                  <w:effect w:val="none"/>
                </w:rPr>
                <w:t>Item 6.</w:t>
              </w:r>
            </w:hyperlink>
          </w:p>
        </w:tc>
        <w:tc>
          <w:tcPr>
            <w:tcW w:w="90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e95c1f4ff7469eabc9d36a13216e92_187">
              <w:r>
                <w:rPr>
                  <w:rStyle w:val="InternetLink"/>
                  <w:rFonts w:ascii="Arial;sans-serif" w:hAnsi="Arial;sans-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e95c1f4ff7469eabc9d36a13216e92_187">
              <w:r>
                <w:rPr>
                  <w:rStyle w:val="InternetLink"/>
                  <w:rFonts w:ascii="Arial;sans-serif" w:hAnsi="Arial;sans-serif"/>
                  <w:b w:val="false"/>
                  <w:strike w:val="false"/>
                  <w:dstrike w:val="false"/>
                  <w:color w:val="0F0000"/>
                  <w:sz w:val="20"/>
                  <w:u w:val="none"/>
                  <w:effect w:val="non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acquisitions, extension of distribution channels and strategic relationships, product innovation, international expansion, customer growth and expansion, customer retention, customer service initiatives, expectations regarding our acquisitions, expectations regarding contract size and increased focus on strategic products, expectations for hiring new talent; our ability to accurately forecast revenue and appropriately plan expenses and investments; the demand for and benefits from the use of our current and future solutions; market acceptance of our solutions; the impact of the macroeconomic environment on our business; the impact of war, armed conflict, or other hostilities; the impact of tariffs and trade regulations on our business; and changes in the competitive environment in our industry and the markets in which we operate and our liquidity and capital resources.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forward-looking statements. Readers are cautioned that these forward-looking statements are only predictions and are subject to risks, uncertainty, and assumptions that are difficult to predict, including those identified below, under “Part II. 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 except as required by applicable law.</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Unless the context otherwise requires, the terms “BlackLine, Inc.,” “BlackLine,” “the Company,” “we,” “us,” and “our” in this Quarterly Report on Form 10-Q refer to the consolidated operations of BlackLine, Inc. and its consolidated subsidiaries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440"/>
        <w:jc w:val="left"/>
        <w:rPr/>
      </w:pPr>
      <w:r>
        <w:rPr>
          <w:rFonts w:ascii="Arial;sans-serif" w:hAnsi="Arial;sans-serif"/>
          <w:b/>
          <w:color w:val="000000"/>
          <w:sz w:val="20"/>
        </w:rPr>
        <w:t>Item 1.    </w:t>
      </w:r>
      <w:r>
        <w:rPr>
          <w:rFonts w:ascii="Arial;sans-serif" w:hAnsi="Arial;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pPr>
      <w:r>
        <w:rPr>
          <w:rFonts w:ascii="Arial;sans-serif" w:hAnsi="Arial;sans-serif"/>
          <w:b/>
          <w:color w:val="000000"/>
          <w:sz w:val="20"/>
        </w:rPr>
        <w:t>CONDENSED CONSOLIDATED BALANCE SHEETS (UNAUDITED)</w:t>
        <w:br/>
        <w:t>(in thousands, except shares and par values)</w:t>
      </w:r>
      <w:r>
        <w:rPr>
          <w:color w:val="000000"/>
        </w:rPr>
        <w:t> </w:t>
      </w:r>
    </w:p>
    <w:tbl>
      <w:tblPr>
        <w:tblW w:w="10205" w:type="dxa"/>
        <w:jc w:val="center"/>
        <w:tblInd w:w="0" w:type="dxa"/>
        <w:tblLayout w:type="fixed"/>
        <w:tblCellMar>
          <w:top w:w="28" w:type="dxa"/>
          <w:left w:w="28" w:type="dxa"/>
          <w:bottom w:w="28" w:type="dxa"/>
          <w:right w:w="28" w:type="dxa"/>
        </w:tblCellMar>
      </w:tblPr>
      <w:tblGrid>
        <w:gridCol w:w="2784"/>
        <w:gridCol w:w="2208"/>
        <w:gridCol w:w="2158"/>
        <w:gridCol w:w="211"/>
        <w:gridCol w:w="1021"/>
        <w:gridCol w:w="109"/>
        <w:gridCol w:w="109"/>
        <w:gridCol w:w="109"/>
        <w:gridCol w:w="109"/>
        <w:gridCol w:w="211"/>
        <w:gridCol w:w="1021"/>
        <w:gridCol w:w="155"/>
      </w:tblGrid>
      <w:tr>
        <w:trPr/>
        <w:tc>
          <w:tcPr>
            <w:tcW w:w="278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ASSETS</w:t>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390,034 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Marketable securities (amortized cost of $285,087 and $387,936 at June 30,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$2,734 and $2,970 at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1,025,209 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development costs,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1,759,519 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LIABILITIES, REDEEMABLE NON-CONTROLLING INTEREST, AND STOCKHOLDERS' EQUITY</w:t>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senior notes, net, 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695,377 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Convertible senior notes, net,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1,388,072 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13)</w:t>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non-controlling interest (Note 4)</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500,000,000 shares authorized, 58,376,978 and 59,880,563 issued and outstanding at June 30, 2026 and December 31, 2025, respectively</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redeemable non-controlling interest,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1,759,519 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OPERATIONS (UNAUDITED)</w:t>
      </w:r>
    </w:p>
    <w:p>
      <w:pPr>
        <w:pStyle w:val="TextBody"/>
        <w:bidi w:val="0"/>
        <w:spacing w:lineRule="auto" w:line="288" w:before="120" w:after="283"/>
        <w:jc w:val="center"/>
        <w:rPr/>
      </w:pPr>
      <w:r>
        <w:rPr>
          <w:rFonts w:ascii="Arial;sans-serif" w:hAnsi="Arial;sans-serif"/>
          <w:b/>
          <w:color w:val="000000"/>
          <w:sz w:val="20"/>
        </w:rPr>
        <w:t>(in thousands, except per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1650"/>
        <w:gridCol w:w="1403"/>
        <w:gridCol w:w="142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5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redeemable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Adjustment attributable to redeemable non-controlling interest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per share attributable to BlackLine, Inc.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calculate basic net income per share</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62,143 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58,981 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62,481 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BlackLine, Inc.</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calculate diluted net income per share</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68,558 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861"/>
        <w:gridCol w:w="1614"/>
        <w:gridCol w:w="1628"/>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6"/>
      </w:tblGrid>
      <w:tr>
        <w:trPr/>
        <w:tc>
          <w:tcPr>
            <w:tcW w:w="186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change in unrealized losses on marketable securities, net of benefit from taxes of $0 and $56 for the quarter and six months ended June 30, 2026, respectively, and $0 for the quarter and six months ended June 30, 2025.</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income attributable to redeemable non-controlling interest: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attributable to redeemable non-controlling interest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attributable to redeemable non-controlling interest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redeemable non-controlling interest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BlackLine,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STOCKHOLDERS’ EQUITY (UNAUDITED)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28"/>
        <w:gridCol w:w="389"/>
        <w:gridCol w:w="391"/>
        <w:gridCol w:w="323"/>
        <w:gridCol w:w="325"/>
        <w:gridCol w:w="233"/>
        <w:gridCol w:w="109"/>
        <w:gridCol w:w="109"/>
        <w:gridCol w:w="109"/>
        <w:gridCol w:w="211"/>
        <w:gridCol w:w="481"/>
        <w:gridCol w:w="109"/>
        <w:gridCol w:w="109"/>
        <w:gridCol w:w="109"/>
        <w:gridCol w:w="109"/>
        <w:gridCol w:w="219"/>
        <w:gridCol w:w="890"/>
        <w:gridCol w:w="113"/>
        <w:gridCol w:w="109"/>
        <w:gridCol w:w="109"/>
        <w:gridCol w:w="109"/>
        <w:gridCol w:w="381"/>
        <w:gridCol w:w="870"/>
        <w:gridCol w:w="198"/>
        <w:gridCol w:w="109"/>
        <w:gridCol w:w="109"/>
        <w:gridCol w:w="109"/>
        <w:gridCol w:w="232"/>
        <w:gridCol w:w="829"/>
        <w:gridCol w:w="121"/>
        <w:gridCol w:w="109"/>
        <w:gridCol w:w="109"/>
        <w:gridCol w:w="109"/>
        <w:gridCol w:w="211"/>
        <w:gridCol w:w="856"/>
        <w:gridCol w:w="160"/>
      </w:tblGrid>
      <w:tr>
        <w:trPr/>
        <w:tc>
          <w:tcPr>
            <w:tcW w:w="10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Quarter Ended June 30, 2026</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327,307 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305,950 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 - redeemable non-controlling interest</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through employee stock purchase plan</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including excise taxes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common stock for tax withholding obligations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 including adjustment to redeemable non-controlling interest</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8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329,461 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316,174 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96"/>
        <w:gridCol w:w="420"/>
        <w:gridCol w:w="423"/>
        <w:gridCol w:w="374"/>
        <w:gridCol w:w="377"/>
        <w:gridCol w:w="233"/>
        <w:gridCol w:w="109"/>
        <w:gridCol w:w="109"/>
        <w:gridCol w:w="109"/>
        <w:gridCol w:w="211"/>
        <w:gridCol w:w="481"/>
        <w:gridCol w:w="109"/>
        <w:gridCol w:w="109"/>
        <w:gridCol w:w="109"/>
        <w:gridCol w:w="109"/>
        <w:gridCol w:w="217"/>
        <w:gridCol w:w="883"/>
        <w:gridCol w:w="112"/>
        <w:gridCol w:w="109"/>
        <w:gridCol w:w="109"/>
        <w:gridCol w:w="109"/>
        <w:gridCol w:w="376"/>
        <w:gridCol w:w="859"/>
        <w:gridCol w:w="196"/>
        <w:gridCol w:w="109"/>
        <w:gridCol w:w="109"/>
        <w:gridCol w:w="109"/>
        <w:gridCol w:w="231"/>
        <w:gridCol w:w="825"/>
        <w:gridCol w:w="121"/>
        <w:gridCol w:w="109"/>
        <w:gridCol w:w="109"/>
        <w:gridCol w:w="109"/>
        <w:gridCol w:w="211"/>
        <w:gridCol w:w="856"/>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2026</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356,841 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(24,818)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332,326 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 - redeemable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through employee stock purchase plan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including excise taxes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common stock for tax withholding obligations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 including adjustment to redeemable non-controlling interest</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58,377 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329,461 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(12,990)</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316,174 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062"/>
        <w:gridCol w:w="428"/>
        <w:gridCol w:w="429"/>
        <w:gridCol w:w="241"/>
        <w:gridCol w:w="242"/>
        <w:gridCol w:w="233"/>
        <w:gridCol w:w="109"/>
        <w:gridCol w:w="109"/>
        <w:gridCol w:w="109"/>
        <w:gridCol w:w="211"/>
        <w:gridCol w:w="481"/>
        <w:gridCol w:w="109"/>
        <w:gridCol w:w="109"/>
        <w:gridCol w:w="109"/>
        <w:gridCol w:w="109"/>
        <w:gridCol w:w="221"/>
        <w:gridCol w:w="900"/>
        <w:gridCol w:w="114"/>
        <w:gridCol w:w="109"/>
        <w:gridCol w:w="109"/>
        <w:gridCol w:w="109"/>
        <w:gridCol w:w="389"/>
        <w:gridCol w:w="888"/>
        <w:gridCol w:w="202"/>
        <w:gridCol w:w="109"/>
        <w:gridCol w:w="109"/>
        <w:gridCol w:w="109"/>
        <w:gridCol w:w="233"/>
        <w:gridCol w:w="834"/>
        <w:gridCol w:w="122"/>
        <w:gridCol w:w="109"/>
        <w:gridCol w:w="109"/>
        <w:gridCol w:w="109"/>
        <w:gridCol w:w="211"/>
        <w:gridCol w:w="856"/>
        <w:gridCol w:w="164"/>
      </w:tblGrid>
      <w:tr>
        <w:trPr/>
        <w:tc>
          <w:tcPr>
            <w:tcW w:w="106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Quarter Ended June 30,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461,570 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(44,112)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417,903 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through employee stock purchase plan</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including excise taxes</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common stock for tax withholding obligations</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 including adjustment to redeemable non-controlling interest</w:t>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7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450,975 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414,047 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6"/>
        <w:gridCol w:w="420"/>
        <w:gridCol w:w="423"/>
        <w:gridCol w:w="374"/>
        <w:gridCol w:w="377"/>
        <w:gridCol w:w="233"/>
        <w:gridCol w:w="109"/>
        <w:gridCol w:w="109"/>
        <w:gridCol w:w="109"/>
        <w:gridCol w:w="211"/>
        <w:gridCol w:w="481"/>
        <w:gridCol w:w="109"/>
        <w:gridCol w:w="109"/>
        <w:gridCol w:w="109"/>
        <w:gridCol w:w="109"/>
        <w:gridCol w:w="217"/>
        <w:gridCol w:w="883"/>
        <w:gridCol w:w="112"/>
        <w:gridCol w:w="109"/>
        <w:gridCol w:w="109"/>
        <w:gridCol w:w="109"/>
        <w:gridCol w:w="376"/>
        <w:gridCol w:w="859"/>
        <w:gridCol w:w="196"/>
        <w:gridCol w:w="109"/>
        <w:gridCol w:w="109"/>
        <w:gridCol w:w="109"/>
        <w:gridCol w:w="231"/>
        <w:gridCol w:w="825"/>
        <w:gridCol w:w="121"/>
        <w:gridCol w:w="109"/>
        <w:gridCol w:w="109"/>
        <w:gridCol w:w="109"/>
        <w:gridCol w:w="211"/>
        <w:gridCol w:w="856"/>
        <w:gridCol w:w="159"/>
      </w:tblGrid>
      <w:tr>
        <w:trPr/>
        <w:tc>
          <w:tcPr>
            <w:tcW w:w="8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June 30,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495,391 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Vesting of restricted stock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through employee stock purchase plan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including excise taxes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(1,716)</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(89,251)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(89,268)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common stock for tax withholding obligations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(12,991)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(12,991)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 including adjustment to redeemable non-controlling interest</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61,881 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450,975 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(37,381)</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414,047 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714"/>
        <w:gridCol w:w="2245"/>
        <w:gridCol w:w="2254"/>
        <w:gridCol w:w="109"/>
        <w:gridCol w:w="109"/>
        <w:gridCol w:w="109"/>
        <w:gridCol w:w="211"/>
        <w:gridCol w:w="826"/>
        <w:gridCol w:w="109"/>
        <w:gridCol w:w="109"/>
        <w:gridCol w:w="109"/>
        <w:gridCol w:w="109"/>
        <w:gridCol w:w="211"/>
        <w:gridCol w:w="826"/>
        <w:gridCol w:w="155"/>
      </w:tblGrid>
      <w:tr>
        <w:trPr/>
        <w:tc>
          <w:tcPr>
            <w:tcW w:w="2714"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BlackLine,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and adjustment attributable to redeemable non-controlling interest (Note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Reductions in noncash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disposal of fixed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gains on sales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purchase discounts on marketable securities,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foreign currency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incentive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(476,940)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maturities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(414,018)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additional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under 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incentive receipts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exercises of stock options -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 of common stock for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currency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(426,745)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886,147 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cash equivalents, and restricted cash to the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459,141 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within prepaid expenses and other current assets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included within other assets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cash equivalents, and restricted cash at end of period shown in the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459,402 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SUPPLEMENTAL CASH FLOWS DISCLOSURE</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968"/>
        <w:gridCol w:w="2496"/>
        <w:gridCol w:w="2514"/>
        <w:gridCol w:w="208"/>
        <w:gridCol w:w="591"/>
        <w:gridCol w:w="115"/>
        <w:gridCol w:w="115"/>
        <w:gridCol w:w="115"/>
        <w:gridCol w:w="115"/>
        <w:gridCol w:w="208"/>
        <w:gridCol w:w="591"/>
        <w:gridCol w:w="169"/>
      </w:tblGrid>
      <w:tr>
        <w:trPr/>
        <w:tc>
          <w:tcPr>
            <w:tcW w:w="2968"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financing and investing activities</w:t>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capitalized for software development</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development costs included in accounts payable and accrued expenses and other current liabilities at end of period</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1,343 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 included in accounts payable and accrued expenses and other current liabilities at end of period</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 for repurchases of common stock</w:t>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Excise tax on repurchases of common stock</w:t>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797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BLACKLINE,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Note 1 – The Company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BlackLine, Inc. and its subsidiaries (the “Company” or “BlackLine”) offer BlackLine’s Agentic Financial Operations Platform that drives digital finance transformation by empowering organizations with accurate, efficient, and intelligent financial operations. Built on the Studio360 platform, and using intelligence powered by Verity - a comprehensive suite of embedded, auditable AI capabilities - BlackLine unifies data, streamlines processes, and delivers real-time insights. BlackLine’s platform is built on an architecture that separates the system processing transactions from the system that independently validates and controls them.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is a holding company and conducts its operations through its wholly-owned subsidiary, BlackLine Systems, Inc. (“BlackLine Systems”).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is headquartered in Woodland Hills, California, with additional offices in North America, Europe, and the Asia-Pacific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2 – Basis of Presentation, Significant Accounting Policies, and Recently-Issued Accounting Pronouncements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were prepared in accordance with accounting principles generally accepted in the United States of America (“GAAP”) for interim financial information. Certain information and disclosures normally included in consolidated financial statements prepared in accordance with GAAP have been condensed or omitted. Accordingly, these unaudited condensed consolidated financial statements should be read in conjunction with the audited consolidated financial statements and the related notes included in the Annual Report on Form 10-K for the fiscal year ended December 31, 2025, which was filed with the Securities and Exchange Commission (“SEC”) on February 26, 2026. The unaudited condensed consolidated financial statements are unaudited and have been prepared on a basis consistent with that used to prepare the audited annual consolidated financial statements and include, in the opinion of management, all adjustments, consisting of normal and recurring items, necessary for the fair statement of the unaudited condensed consolidated financial statements. The unaudited condensed consolidated balance sheet at December 31, 2025 was derived from audited financial statements, but does not include all disclosures required by GAAP. The operating results for the quarter and six months ended June 30, 2026 are not necessarily indicative of the results expected for the full year ending December 31, 2026.</w:t>
      </w:r>
    </w:p>
    <w:p>
      <w:pPr>
        <w:pStyle w:val="TextBody"/>
        <w:bidi w:val="0"/>
        <w:spacing w:lineRule="auto" w:line="288" w:before="240" w:after="283"/>
        <w:ind w:left="0" w:right="0" w:firstLine="495"/>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On an ongoing basis, management evaluates its estimates, primarily those related to determining the stand-alone selling price for separate deliverables in the Company’s subscription revenue arrangements, allowance for doubtful accounts, cancellations and credits, fair value of assets and liabilities assumed in a business combination, recoverability of goodwill and long-lived assets, useful lives associated with long-lived assets and right-of-use assets, income taxes, contingencies, fair value of the 1.00% Convertible Senior Notes due in 2029 (the “2029 Notes” or “convertible senior notes”), redemption value of redeemable non-controlling interest, and the valuation and assumptions underlying stock-based compensation. These estimates are based on historical data and experience, as well as various other factors that management believes to be reasonable under the circumstances. Actual results could differ from those estimates.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assessed certain accounting matters that generally require consideration of forecasted financial information in context with the information reasonably available to the Company at June 30, 2026 and through the date of this report. The accounting matters assessed included, but were not limited to, the allowance for credit losses, and the carrying value of goodwill and other long-lived assets. While there was not a material impact to the Company’s unaudited condensed consolidated financial statements for the quarter and six months ended June 30, 2026, the Company’s future assessment of these accounting matters and other factors could result in material impacts to the Company’s consolidated financial statements in future reporting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495"/>
        <w:jc w:val="left"/>
        <w:rPr>
          <w:rFonts w:ascii="Arial;sans-serif" w:hAnsi="Arial;sans-serif"/>
          <w:b/>
          <w:i/>
          <w:color w:val="000000"/>
          <w:sz w:val="20"/>
        </w:rPr>
      </w:pPr>
      <w:r>
        <w:rPr>
          <w:rFonts w:ascii="Arial;sans-serif" w:hAnsi="Arial;sans-serif"/>
          <w:b/>
          <w:i/>
          <w:color w:val="000000"/>
          <w:sz w:val="20"/>
        </w:rPr>
        <w:t>Significant accounting policies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Company’s significant accounting policies are detailed in “Note 2 - Basis of Presentation, Significant Accounting Policies, and Recently-Issued Accounting Pronouncements” of the Company’s Annual Report on Form 10-K for the year ended December 31, 2025. There have been no material changes to the Company’s significant accounting policies during the six months ended June 30, 2026.</w:t>
      </w:r>
    </w:p>
    <w:p>
      <w:pPr>
        <w:pStyle w:val="TextBody"/>
        <w:bidi w:val="0"/>
        <w:spacing w:lineRule="auto" w:line="288" w:before="240" w:after="283"/>
        <w:ind w:left="0" w:right="0" w:firstLine="495"/>
        <w:jc w:val="both"/>
        <w:rPr>
          <w:rFonts w:ascii="Arial;sans-serif" w:hAnsi="Arial;sans-serif"/>
          <w:b/>
          <w:i/>
          <w:color w:val="000000"/>
          <w:sz w:val="20"/>
        </w:rPr>
      </w:pPr>
      <w:r>
        <w:rPr>
          <w:rFonts w:ascii="Arial;sans-serif" w:hAnsi="Arial;sans-serif"/>
          <w:b/>
          <w:i/>
          <w:color w:val="000000"/>
          <w:sz w:val="20"/>
        </w:rPr>
        <w:t>Recently-adopted accounting pronouncements</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In July 2025, the Financial Accounting Standards Board (“FASB”) issued ASU No. 2025-05, </w:t>
      </w:r>
      <w:r>
        <w:rPr>
          <w:rFonts w:ascii="Arial;sans-serif" w:hAnsi="Arial;sans-serif"/>
          <w:b w:val="false"/>
          <w:i/>
          <w:color w:val="000000"/>
          <w:sz w:val="20"/>
        </w:rPr>
        <w:t>Financial Instruments-Credit Losses (Topic 326): Measurement of Credit Losses for Accounts Receivable and Contract Assets</w:t>
      </w:r>
      <w:r>
        <w:rPr>
          <w:rFonts w:ascii="Arial;sans-serif" w:hAnsi="Arial;sans-serif"/>
          <w:b w:val="false"/>
          <w:color w:val="000000"/>
          <w:sz w:val="20"/>
        </w:rPr>
        <w:t>, which the Company adopted during the quarter ended March 31, 2026. The adoption did not have a material impact on the Company's condensed consolidated financial statements.</w:t>
      </w:r>
    </w:p>
    <w:p>
      <w:pPr>
        <w:pStyle w:val="TextBody"/>
        <w:bidi w:val="0"/>
        <w:spacing w:lineRule="auto" w:line="288" w:before="240" w:after="283"/>
        <w:ind w:left="0" w:right="0" w:firstLine="495"/>
        <w:jc w:val="left"/>
        <w:rPr>
          <w:rFonts w:ascii="Arial;sans-serif" w:hAnsi="Arial;sans-serif"/>
          <w:b/>
          <w:i/>
          <w:color w:val="000000"/>
          <w:sz w:val="20"/>
        </w:rPr>
      </w:pPr>
      <w:r>
        <w:rPr>
          <w:rFonts w:ascii="Arial;sans-serif" w:hAnsi="Arial;sans-serif"/>
          <w:b/>
          <w:i/>
          <w:color w:val="000000"/>
          <w:sz w:val="20"/>
        </w:rPr>
        <w:t>Recently-issued accounting pronouncements not yet adopted</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In September 2025, the FASB issued ASU No. 2025-06, </w:t>
      </w:r>
      <w:r>
        <w:rPr>
          <w:rFonts w:ascii="Arial;sans-serif" w:hAnsi="Arial;sans-serif"/>
          <w:b w:val="false"/>
          <w:i/>
          <w:color w:val="000000"/>
          <w:sz w:val="20"/>
        </w:rPr>
        <w:t xml:space="preserve">Intangible - Goodwill and Other - Internal-Use Software (Subtopic 350-40): Targeted Improvements to the Accounting for Internal-Use Software </w:t>
      </w:r>
      <w:r>
        <w:rPr>
          <w:rFonts w:ascii="Arial;sans-serif" w:hAnsi="Arial;sans-serif"/>
          <w:b w:val="false"/>
          <w:color w:val="000000"/>
          <w:sz w:val="20"/>
        </w:rPr>
        <w:t>(“ASU 2025-06”). ASU 2025-06 removes all references to prescriptive and sequential software development stages. ASU 2025-06 requires entities to begin capitalizing software costs when management authorizes and commits to funding the software project, and it is probable that the project will be completed and the software will be used for its intended purpose. For public business entities, ASU 2025-06 is effective for fiscal years beginning after December 15, 2027, and interim reporting periods within those annual reporting periods. Early adoption is permitted. The Company is currently evaluating the impact of ASU 2025-06 on its consolidated financial statements and related disclosures. The Company does not intend to early adopt.</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In November 2024, the FASB issued ASU No. 2024-03,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 xml:space="preserve">(“ASU 2024-03”), and in January 2025, the FASB issued </w:t>
      </w:r>
      <w:r>
        <w:rPr>
          <w:rFonts w:ascii="Arial;sans-serif" w:hAnsi="Arial;sans-serif"/>
          <w:b w:val="false"/>
          <w:i/>
          <w:color w:val="000000"/>
          <w:sz w:val="20"/>
        </w:rPr>
        <w:t xml:space="preserve">Income Statement - Reporting Comprehensive Income - Expense Disaggregation Disclosures (Subtopic 220-40): Clarifying the Effective Date </w:t>
      </w:r>
      <w:r>
        <w:rPr>
          <w:rFonts w:ascii="Arial;sans-serif" w:hAnsi="Arial;sans-serif"/>
          <w:b w:val="false"/>
          <w:color w:val="000000"/>
          <w:sz w:val="20"/>
        </w:rPr>
        <w:t>("ASU 2025-01"). ASU 2024-03 requires public companies to disclose, in interim and reporting periods, additional information about certain expenses in the financial statements. For public business entities, ASU 2024-03, as clarified by ASU 2025-01, is effective for annual reporting periods beginning after December 15, 2026, and interim periods within annual reporting periods beginning after December 15, 2027. Early adoption of ASU 2024-03 is permitted. The Company is currently evaluating the impact that the standard will have on the disclosures within its consolidated financial statements. The Company does not intend to early adopt.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3 – Segment Information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Management has concluded that the Company has one operating and reportable segment. The Company provides subscription and support services that consist of a cloud-based platform that drives digital finance transformation and also provides professional services that consist of implementation and consulting services. The technology used in the subscription and support services is based on a single software platform that is deployed to and implemented by customers. The Company manages the business activities on a consolidated basis, and operating segments have not been aggregated. The accounting policies for the operating segment are consistent with those discussed in “Note 2 - Basis of Presentation, Significant Accounting Policies, and Recently-Issued Accounting Pronouncements” in the Annual Report on Form 10-K for the fiscal year ended December 31, 2025.</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Company’s Chief Operating Decision Maker (“CODM”) assesses performance for the operating segment and decides how to allocate resources based on the review of net income. The CODM uses net income, among other measures, for budgeting and resource allocation purposes. Expenses significant to the segment were determined to be cost of revenues, sales and marketing expenses, research and development expenses, general and administrative expenses, interest expense, and the provision for (benefit from) income taxes, all of which are presented in the unaudited condensed consolidated statements of operations for the quarters and six months ended June 30, 2026 and 2025. During the quarter and six months ended June 30, 2026, other significant expenses included depreciation expense of $8.6 million and $17.0 million, respectively, as well as amortization expense of $3.8 million and $7.6 million, respectively. During the quarter and six months ended June 30, 2025, other significant expenses included depreciation expense of $8.0 million and $15.9 million, respectively, as well as amortization expense of $3.5 million and $7.1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Company’s intra-entity sales are eliminated upon consolidation. The Company disaggregates its revenue from contracts with customers by geographic location, as it believes it best depicts how the nature, amount, timing, and uncertainty of its revenues and cash flows are affected by economic factors.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sets forth the Company’s revenues by geographic region (in thousands):</w:t>
      </w:r>
    </w:p>
    <w:tbl>
      <w:tblPr>
        <w:tblW w:w="7034" w:type="dxa"/>
        <w:jc w:val="left"/>
        <w:tblInd w:w="0" w:type="dxa"/>
        <w:tblLayout w:type="fixed"/>
        <w:tblCellMar>
          <w:top w:w="28" w:type="dxa"/>
          <w:left w:w="28" w:type="dxa"/>
          <w:bottom w:w="28" w:type="dxa"/>
          <w:right w:w="28" w:type="dxa"/>
        </w:tblCellMar>
      </w:tblPr>
      <w:tblGrid>
        <w:gridCol w:w="472"/>
        <w:gridCol w:w="415"/>
        <w:gridCol w:w="417"/>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126,426 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119,258 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250,798 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235,628 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103,328 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187,822 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172,025 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370,977 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338,956 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quarter ended June 30, 2026, the United Kingdom (U.K.) represented 10% of total revenues. For the six months ended June 30, 2026, no countries outside the United States (“U.S.”) represented 10% or more of total revenues.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measure of segment assets is reported in the unaudited condensed consolidated balance sheets as total consolidated assets. The following table sets forth the Company’s long-lived assets, which consist of property and equipment, net, and lease right-of-use assets by geographic region (in thousands):</w:t>
      </w:r>
    </w:p>
    <w:tbl>
      <w:tblPr>
        <w:tblW w:w="3916" w:type="dxa"/>
        <w:jc w:val="left"/>
        <w:tblInd w:w="0" w:type="dxa"/>
        <w:tblLayout w:type="fixed"/>
        <w:tblCellMar>
          <w:top w:w="28" w:type="dxa"/>
          <w:left w:w="28" w:type="dxa"/>
          <w:bottom w:w="28" w:type="dxa"/>
          <w:right w:w="28" w:type="dxa"/>
        </w:tblCellMar>
      </w:tblPr>
      <w:tblGrid>
        <w:gridCol w:w="472"/>
        <w:gridCol w:w="415"/>
        <w:gridCol w:w="417"/>
        <w:gridCol w:w="211"/>
        <w:gridCol w:w="751"/>
        <w:gridCol w:w="109"/>
        <w:gridCol w:w="109"/>
        <w:gridCol w:w="109"/>
        <w:gridCol w:w="109"/>
        <w:gridCol w:w="229"/>
        <w:gridCol w:w="818"/>
        <w:gridCol w:w="167"/>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36,011 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4 – Redeemable Non-Controlling Interest</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operates in Japan through BlackLine K.K., in which it holds a 53% controlling interest. The non-controlling interests are held by Japanese Cloud Computing, M30 LLC, and Masamune Mimura (the “Investors”). As the Company continues to control a majority stake in BlackLine K.K., the entity has been consolidated.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All of the common stock held by the Investors is callable by the Company or puttable by the Investors upon certain contingent events. Should the call or put option be exercised, the redemption value will be determined based upon a prescribed formula derived from the discrete revenues of BlackLine K.K. and the Company, and may be settled, at the Company’s discretion, with Company stock or cash. As a result of the put right available to the Investors in the future, the redeemable non-controlling interest in BlackLine K.K. is classified outside of permanent equity in the consolidated balance sheets, and the balance is reported at the greater of the initial carrying amount adjusted for the redeemable non-controlling interest's share of earnings, or its estimated redemption value. The resulting changes in the estimated redemption amount, which is reflected as an adjustment to redeemable non-controlling interest in the table below, are recorded within retained earnings or, in the absence of retained earnings, additional paid-in capital.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Under the terms of the agreement with the Investors, all of the common stock is callable or puttable with an exercise date of January 1, 2029.</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During the quarter ended March 31, 2026, employees of BlackLine K.K. exercised stock options with a total exercise price of $0.2 million, resulting in the issuance of 0.1 million shares of BlackLine K.K. common stock. The Company subsequently purchased these shares of common stock for an aggregate price of $3.3 million, which increased the majority ownership of BlackLine K.K. from 51% to 53%.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Activity in the redeemable non-controlling interest was as follows (in thousands):</w:t>
      </w:r>
    </w:p>
    <w:tbl>
      <w:tblPr>
        <w:tblW w:w="10205" w:type="dxa"/>
        <w:jc w:val="left"/>
        <w:tblInd w:w="0" w:type="dxa"/>
        <w:tblLayout w:type="fixed"/>
        <w:tblCellMar>
          <w:top w:w="28" w:type="dxa"/>
          <w:left w:w="28" w:type="dxa"/>
          <w:bottom w:w="28" w:type="dxa"/>
          <w:right w:w="28" w:type="dxa"/>
        </w:tblCellMar>
      </w:tblPr>
      <w:tblGrid>
        <w:gridCol w:w="1930"/>
        <w:gridCol w:w="1477"/>
        <w:gridCol w:w="1487"/>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193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redeemable non-controlling interest (excluding adjustment to 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to redeemable 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stock option exercises – redeemable non-controlling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additional redeemable 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Balance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i/>
          <w:color w:val="000000"/>
          <w:sz w:val="20"/>
        </w:rPr>
      </w:pPr>
      <w:r>
        <w:rPr>
          <w:rFonts w:ascii="Arial;sans-serif" w:hAnsi="Arial;sans-serif"/>
          <w:b/>
          <w:i/>
          <w:color w:val="000000"/>
          <w:sz w:val="20"/>
        </w:rPr>
        <w:t>Note 5 – Intangible Assets and Goodwill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carrying value of intangible assets was as follows (in thousands):</w:t>
      </w:r>
    </w:p>
    <w:tbl>
      <w:tblPr>
        <w:tblW w:w="8829" w:type="dxa"/>
        <w:jc w:val="left"/>
        <w:tblInd w:w="0" w:type="dxa"/>
        <w:tblLayout w:type="fixed"/>
        <w:tblCellMar>
          <w:top w:w="28" w:type="dxa"/>
          <w:left w:w="28" w:type="dxa"/>
          <w:bottom w:w="28" w:type="dxa"/>
          <w:right w:w="28" w:type="dxa"/>
        </w:tblCellMar>
      </w:tblPr>
      <w:tblGrid>
        <w:gridCol w:w="766"/>
        <w:gridCol w:w="673"/>
        <w:gridCol w:w="676"/>
        <w:gridCol w:w="358"/>
        <w:gridCol w:w="1452"/>
        <w:gridCol w:w="185"/>
        <w:gridCol w:w="109"/>
        <w:gridCol w:w="109"/>
        <w:gridCol w:w="109"/>
        <w:gridCol w:w="381"/>
        <w:gridCol w:w="1657"/>
        <w:gridCol w:w="197"/>
        <w:gridCol w:w="109"/>
        <w:gridCol w:w="109"/>
        <w:gridCol w:w="109"/>
        <w:gridCol w:w="346"/>
        <w:gridCol w:w="1232"/>
        <w:gridCol w:w="252"/>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w:t>
            </w:r>
          </w:p>
        </w:tc>
        <w:tc>
          <w:tcPr>
            <w:tcW w:w="19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41,295 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81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26,779 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Defensive patent</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186,807 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(145,039)</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829" w:type="dxa"/>
        <w:jc w:val="left"/>
        <w:tblInd w:w="0" w:type="dxa"/>
        <w:tblLayout w:type="fixed"/>
        <w:tblCellMar>
          <w:top w:w="28" w:type="dxa"/>
          <w:left w:w="28" w:type="dxa"/>
          <w:bottom w:w="28" w:type="dxa"/>
          <w:right w:w="28" w:type="dxa"/>
        </w:tblCellMar>
      </w:tblPr>
      <w:tblGrid>
        <w:gridCol w:w="766"/>
        <w:gridCol w:w="673"/>
        <w:gridCol w:w="676"/>
        <w:gridCol w:w="358"/>
        <w:gridCol w:w="1452"/>
        <w:gridCol w:w="185"/>
        <w:gridCol w:w="109"/>
        <w:gridCol w:w="109"/>
        <w:gridCol w:w="109"/>
        <w:gridCol w:w="381"/>
        <w:gridCol w:w="1657"/>
        <w:gridCol w:w="197"/>
        <w:gridCol w:w="109"/>
        <w:gridCol w:w="109"/>
        <w:gridCol w:w="109"/>
        <w:gridCol w:w="346"/>
        <w:gridCol w:w="1232"/>
        <w:gridCol w:w="252"/>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name</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Developed technology</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141,718 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1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(26,360)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Defensive patent</w:t>
            </w:r>
          </w:p>
        </w:tc>
        <w:tc>
          <w:tcPr>
            <w:tcW w:w="1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186,807 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(137,455)</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49,352 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The following table represents the changes in goodwill (in thousands): </w:t>
      </w:r>
    </w:p>
    <w:tbl>
      <w:tblPr>
        <w:tblW w:w="4235" w:type="dxa"/>
        <w:jc w:val="left"/>
        <w:tblInd w:w="0" w:type="dxa"/>
        <w:tblLayout w:type="fixed"/>
        <w:tblCellMar>
          <w:top w:w="28" w:type="dxa"/>
          <w:left w:w="28" w:type="dxa"/>
          <w:bottom w:w="28" w:type="dxa"/>
          <w:right w:w="28" w:type="dxa"/>
        </w:tblCellMar>
      </w:tblPr>
      <w:tblGrid>
        <w:gridCol w:w="1092"/>
        <w:gridCol w:w="959"/>
        <w:gridCol w:w="963"/>
        <w:gridCol w:w="211"/>
        <w:gridCol w:w="85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period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465,715 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6 – Balance Sheet Components</w:t>
      </w:r>
    </w:p>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Investments in Marketable Securities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Investments in marketable securities, which are presented within current assets in the unaudited condensed consolidated balance sheets,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240" w:after="283"/>
        <w:jc w:val="left"/>
        <w:rPr/>
      </w:pPr>
      <w:r>
        <w:rPr/>
      </w:r>
    </w:p>
    <w:tbl>
      <w:tblPr>
        <w:tblW w:w="7444" w:type="dxa"/>
        <w:jc w:val="left"/>
        <w:tblInd w:w="0" w:type="dxa"/>
        <w:tblLayout w:type="fixed"/>
        <w:tblCellMar>
          <w:top w:w="28" w:type="dxa"/>
          <w:left w:w="28" w:type="dxa"/>
          <w:bottom w:w="28" w:type="dxa"/>
          <w:right w:w="28" w:type="dxa"/>
        </w:tblCellMar>
      </w:tblPr>
      <w:tblGrid>
        <w:gridCol w:w="786"/>
        <w:gridCol w:w="692"/>
        <w:gridCol w:w="696"/>
        <w:gridCol w:w="211"/>
        <w:gridCol w:w="856"/>
        <w:gridCol w:w="109"/>
        <w:gridCol w:w="109"/>
        <w:gridCol w:w="109"/>
        <w:gridCol w:w="109"/>
        <w:gridCol w:w="274"/>
        <w:gridCol w:w="529"/>
        <w:gridCol w:w="143"/>
        <w:gridCol w:w="109"/>
        <w:gridCol w:w="109"/>
        <w:gridCol w:w="109"/>
        <w:gridCol w:w="249"/>
        <w:gridCol w:w="568"/>
        <w:gridCol w:w="129"/>
        <w:gridCol w:w="109"/>
        <w:gridCol w:w="109"/>
        <w:gridCol w:w="109"/>
        <w:gridCol w:w="211"/>
        <w:gridCol w:w="85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284,863 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786"/>
        <w:gridCol w:w="692"/>
        <w:gridCol w:w="696"/>
        <w:gridCol w:w="211"/>
        <w:gridCol w:w="856"/>
        <w:gridCol w:w="109"/>
        <w:gridCol w:w="109"/>
        <w:gridCol w:w="109"/>
        <w:gridCol w:w="109"/>
        <w:gridCol w:w="249"/>
        <w:gridCol w:w="568"/>
        <w:gridCol w:w="129"/>
        <w:gridCol w:w="109"/>
        <w:gridCol w:w="109"/>
        <w:gridCol w:w="109"/>
        <w:gridCol w:w="274"/>
        <w:gridCol w:w="529"/>
        <w:gridCol w:w="143"/>
        <w:gridCol w:w="109"/>
        <w:gridCol w:w="109"/>
        <w:gridCol w:w="109"/>
        <w:gridCol w:w="211"/>
        <w:gridCol w:w="85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388,178 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The Company’s marketable securities at June 30, 2026 have a contractual maturity of less than one year. All of the Company’s available-for-sale securities are available for use in current operations and are categorized as current assets. Refer to “Note 7 - Fair Value Measurements” for additional information.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recognized accretion on its marketable securities of $1.9 million and $4.4 million for the quarter and six months ended June 30, 2026, respectively, and $3.4 million and $5.4 million for the quarter and six months ended June 30, 2025, respectively, each recorded in interest income in the unaudited condensed consolidated statement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Net gains and losses are determined using the specific identification method. During the quarter and six months ended June 30, 2026, nominal realized gains were recognized in the unaudited condensed consolidated statements of operations from the sales of marketable securities. During the quarter and six months ended June 30, 2025, the Company had no sales of marketable securities, and therefore, no related realized gains or losses were recognized in the unaudited condensed consolidated statements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Marketable securities in a continuous loss position for less than 12 months had an estimated fair value of $209.6 million and unrealized losses were $0.2 million at June 30, 2026. There were no marketable securities in a continuous loss position for greater than 12 months at June 30, 2026.</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Company's marketable securities are considered to be of high credit quality and accordingly, there was no allowance for credit losses related to marketable securities at June 30, 2026.</w:t>
      </w:r>
    </w:p>
    <w:p>
      <w:pPr>
        <w:pStyle w:val="TextBody"/>
        <w:bidi w:val="0"/>
        <w:spacing w:lineRule="auto" w:line="288" w:before="240" w:after="283"/>
        <w:ind w:left="0" w:right="0" w:firstLine="495"/>
        <w:jc w:val="both"/>
        <w:rPr>
          <w:rFonts w:ascii="Arial;sans-serif" w:hAnsi="Arial;sans-serif"/>
          <w:b/>
          <w:i/>
          <w:color w:val="000000"/>
          <w:sz w:val="20"/>
        </w:rPr>
      </w:pPr>
      <w:r>
        <w:rPr>
          <w:rFonts w:ascii="Arial;sans-serif" w:hAnsi="Arial;sans-serif"/>
          <w:b/>
          <w:i/>
          <w:color w:val="000000"/>
          <w:sz w:val="20"/>
        </w:rPr>
        <w:t>Other Assets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Deferred customer contract acquisition costs are included in other assets in the unaudited condensed consolidated balance sheets and totaled $85.1 million and $89.3 million at June 30, 2026 and December 31, 2025, respectively.</w:t>
      </w:r>
    </w:p>
    <w:p>
      <w:pPr>
        <w:pStyle w:val="TextBody"/>
        <w:bidi w:val="0"/>
        <w:spacing w:lineRule="auto" w:line="288" w:before="240" w:after="120"/>
        <w:ind w:left="0" w:right="0" w:firstLine="495"/>
        <w:jc w:val="left"/>
        <w:rPr>
          <w:rFonts w:ascii="Arial;sans-serif" w:hAnsi="Arial;sans-serif"/>
          <w:b/>
          <w:i/>
          <w:color w:val="000000"/>
          <w:sz w:val="20"/>
        </w:rPr>
      </w:pPr>
      <w:r>
        <w:rPr>
          <w:rFonts w:ascii="Arial;sans-serif" w:hAnsi="Arial;sans-serif"/>
          <w:b/>
          <w:i/>
          <w:color w:val="000000"/>
          <w:sz w:val="20"/>
        </w:rPr>
        <w:t>Accrued Expenses and Other Current Liabilities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Accrued expenses and other current liabilities were comprised of the following (in thousands):</w:t>
      </w:r>
    </w:p>
    <w:tbl>
      <w:tblPr>
        <w:tblW w:w="6707" w:type="dxa"/>
        <w:jc w:val="left"/>
        <w:tblInd w:w="0" w:type="dxa"/>
        <w:tblLayout w:type="fixed"/>
        <w:tblCellMar>
          <w:top w:w="28" w:type="dxa"/>
          <w:left w:w="28" w:type="dxa"/>
          <w:bottom w:w="28" w:type="dxa"/>
          <w:right w:w="28" w:type="dxa"/>
        </w:tblCellMar>
      </w:tblPr>
      <w:tblGrid>
        <w:gridCol w:w="1483"/>
        <w:gridCol w:w="1304"/>
        <w:gridCol w:w="1308"/>
        <w:gridCol w:w="211"/>
        <w:gridCol w:w="751"/>
        <w:gridCol w:w="109"/>
        <w:gridCol w:w="109"/>
        <w:gridCol w:w="109"/>
        <w:gridCol w:w="109"/>
        <w:gridCol w:w="229"/>
        <w:gridCol w:w="818"/>
        <w:gridCol w:w="167"/>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salaries and employee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income and other taxes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restructuring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accrued expenses and current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76,790 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120"/>
        <w:ind w:left="0" w:right="0" w:firstLine="495"/>
        <w:jc w:val="left"/>
        <w:rPr>
          <w:rFonts w:ascii="Arial;sans-serif" w:hAnsi="Arial;sans-serif"/>
          <w:b/>
          <w:i/>
          <w:color w:val="000000"/>
          <w:sz w:val="20"/>
        </w:rPr>
      </w:pPr>
      <w:r>
        <w:rPr>
          <w:rFonts w:ascii="Arial;sans-serif" w:hAnsi="Arial;sans-serif"/>
          <w:b/>
          <w:i/>
          <w:color w:val="000000"/>
          <w:sz w:val="20"/>
        </w:rPr>
        <w:t>Derivative Instruments</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The Company uses foreign currency forward contracts with an approximate maturity of one month to mitigate foreign currency exchange rate fluctuations on certain foreign currency-denominated monetary assets. Under ASC 815, </w:t>
      </w:r>
      <w:r>
        <w:rPr>
          <w:rFonts w:ascii="Arial;sans-serif" w:hAnsi="Arial;sans-serif"/>
          <w:b w:val="false"/>
          <w:i/>
          <w:color w:val="000000"/>
          <w:sz w:val="20"/>
        </w:rPr>
        <w:t>Derivatives and Hedging</w:t>
      </w:r>
      <w:r>
        <w:rPr>
          <w:rFonts w:ascii="Arial;sans-serif" w:hAnsi="Arial;sans-serif"/>
          <w:b w:val="false"/>
          <w:color w:val="000000"/>
          <w:sz w:val="20"/>
        </w:rPr>
        <w:t xml:space="preserve">, these contracts are not designated as hedging instruments.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fair value of the forward contracts, estimated based on prevailing exchange rates of the various hedged currencies at the end of the period, is reported as either prepaid expenses and other current assets or accrued expenses and other current liabilities in the unaudited condensed consolidated balance sheets. At June 30, 2026, the total gross notional amount of forward contracts was $51.0 million. Refer to “Note 7 - Fair Value Measurements” for additional information on the fair value classification of the forward contracts.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quarter and six months ended June 30, 2026, the net gains from the forward contracts were $0.5 million and $1.4 million, respectively, which were recorded in general and administrative expenses.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quarter and six months ended June 30, 2025, the net loss from the forward contracts, which was recorded in general and administrative expenses, was $1.4 million.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Cash flows from the settlement of the forward contracts are classified as operating activities in the unaudited condensed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Note 7 – Fair Value Measurements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the Company’s financial assets and liabilities measured at fair value on a recurring basis by level, within the fair value hierarchy. Financial assets and liabilities are classified in their entirety based on the lowest level of input that is significant to the fair value measurement (in thousands):</w:t>
      </w:r>
    </w:p>
    <w:tbl>
      <w:tblPr>
        <w:tblW w:w="9029" w:type="dxa"/>
        <w:jc w:val="left"/>
        <w:tblInd w:w="0" w:type="dxa"/>
        <w:tblLayout w:type="fixed"/>
        <w:tblCellMar>
          <w:top w:w="28" w:type="dxa"/>
          <w:left w:w="28" w:type="dxa"/>
          <w:bottom w:w="28" w:type="dxa"/>
          <w:right w:w="28" w:type="dxa"/>
        </w:tblCellMar>
      </w:tblPr>
      <w:tblGrid>
        <w:gridCol w:w="1395"/>
        <w:gridCol w:w="1229"/>
        <w:gridCol w:w="1230"/>
        <w:gridCol w:w="211"/>
        <w:gridCol w:w="856"/>
        <w:gridCol w:w="109"/>
        <w:gridCol w:w="109"/>
        <w:gridCol w:w="109"/>
        <w:gridCol w:w="109"/>
        <w:gridCol w:w="211"/>
        <w:gridCol w:w="751"/>
        <w:gridCol w:w="109"/>
        <w:gridCol w:w="109"/>
        <w:gridCol w:w="109"/>
        <w:gridCol w:w="109"/>
        <w:gridCol w:w="211"/>
        <w:gridCol w:w="406"/>
        <w:gridCol w:w="109"/>
        <w:gridCol w:w="109"/>
        <w:gridCol w:w="109"/>
        <w:gridCol w:w="109"/>
        <w:gridCol w:w="211"/>
        <w:gridCol w:w="856"/>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 2026</w:t>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8415" w:type="dxa"/>
        <w:jc w:val="left"/>
        <w:tblInd w:w="0" w:type="dxa"/>
        <w:tblLayout w:type="fixed"/>
        <w:tblCellMar>
          <w:top w:w="28" w:type="dxa"/>
          <w:left w:w="28" w:type="dxa"/>
          <w:bottom w:w="28" w:type="dxa"/>
          <w:right w:w="28" w:type="dxa"/>
        </w:tblCellMar>
      </w:tblPr>
      <w:tblGrid>
        <w:gridCol w:w="1135"/>
        <w:gridCol w:w="999"/>
        <w:gridCol w:w="1001"/>
        <w:gridCol w:w="211"/>
        <w:gridCol w:w="856"/>
        <w:gridCol w:w="109"/>
        <w:gridCol w:w="109"/>
        <w:gridCol w:w="109"/>
        <w:gridCol w:w="109"/>
        <w:gridCol w:w="211"/>
        <w:gridCol w:w="856"/>
        <w:gridCol w:w="109"/>
        <w:gridCol w:w="109"/>
        <w:gridCol w:w="109"/>
        <w:gridCol w:w="109"/>
        <w:gridCol w:w="211"/>
        <w:gridCol w:w="406"/>
        <w:gridCol w:w="109"/>
        <w:gridCol w:w="109"/>
        <w:gridCol w:w="109"/>
        <w:gridCol w:w="109"/>
        <w:gridCol w:w="211"/>
        <w:gridCol w:w="856"/>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Marketable securities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378,803 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forward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classified the marketable debt securities as available-for-sale debt securities at the time of purchase and reevaluated such classification at each balance sheet date. The valuation techniques used to measure the fair values of instruments that were classified as Level 1 were derived from quoted market prices for identical instruments in active markets. The valuation techniques used to measure the fair values of Level 2 instruments were derived from broker reports that utilized quoted market prices for similar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Foreign currency forward contracts are classified within the Level 2 value hierarchy, as the valuation inputs are not actively traded, and the valuation inputs are based on quoted market prices for similar instruments, including currency spot and forward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8 – Convertible Senior Notes</w:t>
      </w:r>
    </w:p>
    <w:p>
      <w:pPr>
        <w:pStyle w:val="TextBody"/>
        <w:bidi w:val="0"/>
        <w:spacing w:lineRule="auto" w:line="288" w:before="240" w:after="283"/>
        <w:ind w:left="0" w:right="0" w:firstLine="495"/>
        <w:jc w:val="both"/>
        <w:rPr>
          <w:rFonts w:ascii="Arial;sans-serif" w:hAnsi="Arial;sans-serif"/>
          <w:b/>
          <w:color w:val="000000"/>
          <w:sz w:val="20"/>
        </w:rPr>
      </w:pPr>
      <w:r>
        <w:rPr>
          <w:rFonts w:ascii="Arial;sans-serif" w:hAnsi="Arial;sans-serif"/>
          <w:b/>
          <w:color w:val="000000"/>
          <w:sz w:val="20"/>
        </w:rPr>
        <w:t>2029 Notes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the Company had $675.0 million aggregate principal amount of the 1.00% 2029 Notes outstanding. The 2029 Notes consisted of the following (in thousands):</w:t>
      </w:r>
    </w:p>
    <w:tbl>
      <w:tblPr>
        <w:tblW w:w="5754" w:type="dxa"/>
        <w:jc w:val="left"/>
        <w:tblInd w:w="0" w:type="dxa"/>
        <w:tblLayout w:type="fixed"/>
        <w:tblCellMar>
          <w:top w:w="28" w:type="dxa"/>
          <w:left w:w="28" w:type="dxa"/>
          <w:bottom w:w="28" w:type="dxa"/>
          <w:right w:w="28" w:type="dxa"/>
        </w:tblCellMar>
      </w:tblPr>
      <w:tblGrid>
        <w:gridCol w:w="1094"/>
        <w:gridCol w:w="959"/>
        <w:gridCol w:w="977"/>
        <w:gridCol w:w="211"/>
        <w:gridCol w:w="856"/>
        <w:gridCol w:w="109"/>
        <w:gridCol w:w="109"/>
        <w:gridCol w:w="109"/>
        <w:gridCol w:w="109"/>
        <w:gridCol w:w="211"/>
        <w:gridCol w:w="856"/>
        <w:gridCol w:w="154"/>
      </w:tblGrid>
      <w:tr>
        <w:trPr/>
        <w:tc>
          <w:tcPr>
            <w:tcW w:w="109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Liability:</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Unamortized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carrying amount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667,319 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666,046 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effective interest rate of the 2029 Notes, excluding the conversion option, remained 1.40% at June 30, 2026.</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carries the 2029 Notes at face value less unamortized debt issuance costs in the unaudited condensed consolidated balance sheets and presents the fair value for disclosure purposes only. The estimated fair value was determined based on the actual bids and offers of the 2029 Notes in an over-the-counter market on the last trading day of the period. The estimated fair value of the 2029 Notes, based on a market approach at June 30, 2026, was approximately $623.0 million, which represents a Level 2 valuation.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During the quarter ended June 30, 2026, the Company recognized $0.6 million of interest expense related to the amortization of debt issuance costs and $1.7 million of coupon interest expense. During the quarter ended June 30, 2025, the Company recognized $0.6 million of interest expense related to the amortization of debt issuance costs and $1.7 million of coupon interest expense.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recognized $1.3 million of interest expense related to the amortization of debt issuance costs and $3.4 million of coupon interest expense. During the six months ended June 30, 2025, the Company recognized $1.3 million of interest expense related to the amortization of debt issuance costs and $3.4 million of coupon interest expense.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2029 Notes were not convertible at June 30, 2026. It is the Company’s current intent to settle conversions of the 2029 Notes through “combination settlement”, which involves repayment of the principal portion in cash and any excess of the conversion value over the principal amount in shares, cash, or a combination for any further value.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offering of the 2029 Notes, the Company entered into privately-negotiated capped call transactions (the “2029 Capped Calls” and together with the 2026 Capped Calls (as defined below), the “Capped Calls”). There have been no changes to the condition of the 2029 Notes since December 31, 2025, and the 2029 Capped Calls were unchanged and still outstanding at June 30, 2026.</w:t>
      </w:r>
    </w:p>
    <w:p>
      <w:pPr>
        <w:pStyle w:val="TextBody"/>
        <w:bidi w:val="0"/>
        <w:spacing w:lineRule="auto" w:line="288" w:before="240" w:after="283"/>
        <w:ind w:left="0" w:right="0" w:firstLine="495"/>
        <w:jc w:val="left"/>
        <w:rPr>
          <w:rFonts w:ascii="Arial;sans-serif" w:hAnsi="Arial;sans-serif"/>
          <w:b/>
          <w:color w:val="000000"/>
          <w:sz w:val="20"/>
        </w:rPr>
      </w:pPr>
      <w:r>
        <w:rPr>
          <w:rFonts w:ascii="Arial;sans-serif" w:hAnsi="Arial;sans-serif"/>
          <w:b/>
          <w:color w:val="000000"/>
          <w:sz w:val="20"/>
        </w:rPr>
        <w:t>2026 Notes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On March 15, 2026, the scheduled maturity date of the 0.00% 2026 Notes (the “2026 Notes”), the Company repaid the total outstanding $230.2 million aggregate principal amount pursuant to the terms of the 2026 Notes with cash on hand.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During the quarters ended June 30, 2026 and 2025, the Company recognized no interest expense and $0.2 million interest expense related to the amortization of debt issuance costs, respectively.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During the six months ended June 30, 2026 and 2025, the Company recognized interest expense related to the amortization of debt issuance costs of $0.2 million and $0.4 million, respectively.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All privately-negotiated capped call transactions entered into with the offering of the 2026 Notes (the “2026 Capped Calls”) expired upon the maturity of the 2026 Notes on March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9 – Restructuring Costs</w:t>
      </w:r>
    </w:p>
    <w:p>
      <w:pPr>
        <w:pStyle w:val="TextBody"/>
        <w:bidi w:val="0"/>
        <w:spacing w:lineRule="auto" w:line="288" w:before="240" w:after="283"/>
        <w:ind w:left="0" w:right="0" w:firstLine="495"/>
        <w:jc w:val="both"/>
        <w:rPr>
          <w:rFonts w:ascii="Arial;sans-serif" w:hAnsi="Arial;sans-serif"/>
          <w:b/>
          <w:color w:val="000000"/>
          <w:sz w:val="20"/>
        </w:rPr>
      </w:pPr>
      <w:r>
        <w:rPr>
          <w:rFonts w:ascii="Arial;sans-serif" w:hAnsi="Arial;sans-serif"/>
          <w:b/>
          <w:color w:val="000000"/>
          <w:sz w:val="20"/>
        </w:rPr>
        <w:t>Fiscal 2025 Restructuring Programs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2025, the Company initiated a global restructuring program to align resources with strategic priorities and enhance operational efficiency through talent optimization (the “Fiscal 2025 restructuring programs”). The liability for the Fiscal 2025 restructuring programs was included in accrued expenses and other current liabilities in the unaudited condensed consolidated balance sheets. The following tables summarize the related activity for the quarter and six months ended June 30, 2026 (in thousands):</w:t>
      </w:r>
    </w:p>
    <w:tbl>
      <w:tblPr>
        <w:tblW w:w="4487" w:type="dxa"/>
        <w:jc w:val="left"/>
        <w:tblInd w:w="0" w:type="dxa"/>
        <w:tblLayout w:type="fixed"/>
        <w:tblCellMar>
          <w:top w:w="28" w:type="dxa"/>
          <w:left w:w="28" w:type="dxa"/>
          <w:bottom w:w="28" w:type="dxa"/>
          <w:right w:w="28" w:type="dxa"/>
        </w:tblCellMar>
      </w:tblPr>
      <w:tblGrid>
        <w:gridCol w:w="1141"/>
        <w:gridCol w:w="1001"/>
        <w:gridCol w:w="1007"/>
        <w:gridCol w:w="109"/>
        <w:gridCol w:w="109"/>
        <w:gridCol w:w="109"/>
        <w:gridCol w:w="211"/>
        <w:gridCol w:w="646"/>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Accrual 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Accrual 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33" w:type="dxa"/>
        <w:jc w:val="left"/>
        <w:tblInd w:w="0" w:type="dxa"/>
        <w:tblLayout w:type="fixed"/>
        <w:tblCellMar>
          <w:top w:w="28" w:type="dxa"/>
          <w:left w:w="28" w:type="dxa"/>
          <w:bottom w:w="28" w:type="dxa"/>
          <w:right w:w="28" w:type="dxa"/>
        </w:tblCellMar>
      </w:tblPr>
      <w:tblGrid>
        <w:gridCol w:w="1266"/>
        <w:gridCol w:w="1112"/>
        <w:gridCol w:w="1117"/>
        <w:gridCol w:w="109"/>
        <w:gridCol w:w="109"/>
        <w:gridCol w:w="109"/>
        <w:gridCol w:w="211"/>
        <w:gridCol w:w="64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Accrual 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Restructuring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Accrual 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Arial;sans-serif" w:hAnsi="Arial;sans-serif"/>
          <w:b w:val="false"/>
          <w:color w:val="000000"/>
          <w:sz w:val="20"/>
        </w:rPr>
        <w:t xml:space="preserve">At June 30, 2026, the Company incurred cumulative costs of $17.4 million for one-time termination benefits related to the Fiscal 2025 restructuring programs, which occurred in the U.S. and various international locations. The charges were recorded pursuant to ASC 420, </w:t>
      </w:r>
      <w:r>
        <w:rPr>
          <w:rFonts w:ascii="Arial;sans-serif" w:hAnsi="Arial;sans-serif"/>
          <w:b w:val="false"/>
          <w:i/>
          <w:color w:val="000000"/>
          <w:sz w:val="20"/>
        </w:rPr>
        <w:t>Exit or Disposal Obligations</w:t>
      </w:r>
      <w:r>
        <w:rPr>
          <w:rFonts w:ascii="Arial;sans-serif" w:hAnsi="Arial;sans-serif"/>
          <w:b w:val="false"/>
          <w:color w:val="000000"/>
          <w:sz w:val="20"/>
        </w:rPr>
        <w:t>. The Company does not anticipate incurring material additional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10 – Stockholders’ Equity</w:t>
      </w:r>
    </w:p>
    <w:p>
      <w:pPr>
        <w:pStyle w:val="TextBody"/>
        <w:bidi w:val="0"/>
        <w:spacing w:lineRule="auto" w:line="288" w:before="120" w:after="283"/>
        <w:ind w:left="0" w:right="0" w:firstLine="495"/>
        <w:jc w:val="both"/>
        <w:rPr>
          <w:rFonts w:ascii="Arial;sans-serif" w:hAnsi="Arial;sans-serif"/>
          <w:b/>
          <w:i/>
          <w:color w:val="000000"/>
          <w:sz w:val="20"/>
        </w:rPr>
      </w:pPr>
      <w:r>
        <w:rPr>
          <w:rFonts w:ascii="Arial;sans-serif" w:hAnsi="Arial;sans-serif"/>
          <w:b/>
          <w:i/>
          <w:color w:val="000000"/>
          <w:sz w:val="20"/>
        </w:rPr>
        <w:t>Common Stock Repurchases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Under the Company’s stock repurchase program, which authorizes the periodic repurchase of its common stock, the Board of Directors (the “Board”) approved an increase to the stock repurchase program of an additional $100 million of common stock on March 13, 2026. This increased the total authorization for repurchases under the stock repurchase program from $400 million to $500 million.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repurchased and retired approximately 1.2 million shares of common stock for $37.7 million during the quarter ended June 30, 2026, and 2.4 million shares for $84.8 million during the six months ended June 30, 2026. At June 30, 2026, $179.7 million remained available for repurchases under this program.</w:t>
      </w:r>
    </w:p>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Stock-based compensation expense was as follows (in thousands):</w:t>
      </w:r>
    </w:p>
    <w:tbl>
      <w:tblPr>
        <w:tblW w:w="7800" w:type="dxa"/>
        <w:jc w:val="left"/>
        <w:tblInd w:w="0" w:type="dxa"/>
        <w:tblLayout w:type="fixed"/>
        <w:tblCellMar>
          <w:top w:w="28" w:type="dxa"/>
          <w:left w:w="28" w:type="dxa"/>
          <w:bottom w:w="28" w:type="dxa"/>
          <w:right w:w="28" w:type="dxa"/>
        </w:tblCellMar>
      </w:tblPr>
      <w:tblGrid>
        <w:gridCol w:w="903"/>
        <w:gridCol w:w="791"/>
        <w:gridCol w:w="796"/>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90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43,231 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For the quarters ended June 30, 2026 and 2025, stock-based compensation capitalized as an asset was $1.3 million and $1.3 million, respectively. For the quarters ended June 30, 2026 and 2025, amortization of capitalized stock-based compensation was $1.1 million and $0.9 million, respectively.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For the six months ended June 30, 2026 and 2025, stock-based compensation capitalized as an asset was $2.5 million and $2.3 million, respectively. For the six months ended June 30, 2026 and 2025, amortization of capitalized stock-based compensation was $2.1 million and $1.8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Stock options - service-only vesting conditions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awards that contain service-only vesting conditions (in thousands):</w:t>
      </w:r>
    </w:p>
    <w:tbl>
      <w:tblPr>
        <w:tblW w:w="3785" w:type="dxa"/>
        <w:jc w:val="left"/>
        <w:tblInd w:w="0" w:type="dxa"/>
        <w:tblLayout w:type="fixed"/>
        <w:tblCellMar>
          <w:top w:w="28" w:type="dxa"/>
          <w:left w:w="28" w:type="dxa"/>
          <w:bottom w:w="28" w:type="dxa"/>
          <w:right w:w="28" w:type="dxa"/>
        </w:tblCellMar>
      </w:tblPr>
      <w:tblGrid>
        <w:gridCol w:w="1141"/>
        <w:gridCol w:w="1002"/>
        <w:gridCol w:w="1007"/>
        <w:gridCol w:w="240"/>
        <w:gridCol w:w="241"/>
        <w:gridCol w:w="154"/>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Forfeited/canceled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June 30, 2026</w:t>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Restricted stock units - service-only vesting conditions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restricted stock units that contain service-only vesting conditions (in thousands):</w:t>
      </w:r>
    </w:p>
    <w:tbl>
      <w:tblPr>
        <w:tblW w:w="3830" w:type="dxa"/>
        <w:jc w:val="left"/>
        <w:tblInd w:w="0" w:type="dxa"/>
        <w:tblLayout w:type="fixed"/>
        <w:tblCellMar>
          <w:top w:w="28" w:type="dxa"/>
          <w:left w:w="28" w:type="dxa"/>
          <w:bottom w:w="28" w:type="dxa"/>
          <w:right w:w="28" w:type="dxa"/>
        </w:tblCellMar>
      </w:tblPr>
      <w:tblGrid>
        <w:gridCol w:w="1098"/>
        <w:gridCol w:w="964"/>
        <w:gridCol w:w="968"/>
        <w:gridCol w:w="323"/>
        <w:gridCol w:w="323"/>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Forfeited/canceled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Arial;sans-serif" w:hAnsi="Arial;sans-serif"/>
          <w:b/>
          <w:i/>
          <w:color w:val="000000"/>
          <w:sz w:val="20"/>
        </w:rPr>
      </w:pPr>
      <w:r>
        <w:rPr>
          <w:rFonts w:ascii="Arial;sans-serif" w:hAnsi="Arial;sans-serif"/>
          <w:b/>
          <w:i/>
          <w:color w:val="000000"/>
          <w:sz w:val="20"/>
        </w:rPr>
        <w:t>Restricted stock units - performance and service conditions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restricted stock units with performance and service vesting conditions with grant dates established (in thousands):</w:t>
      </w:r>
    </w:p>
    <w:tbl>
      <w:tblPr>
        <w:tblW w:w="3724" w:type="dxa"/>
        <w:jc w:val="left"/>
        <w:tblInd w:w="0" w:type="dxa"/>
        <w:tblLayout w:type="fixed"/>
        <w:tblCellMar>
          <w:top w:w="28" w:type="dxa"/>
          <w:left w:w="28" w:type="dxa"/>
          <w:bottom w:w="28" w:type="dxa"/>
          <w:right w:w="28" w:type="dxa"/>
        </w:tblCellMar>
      </w:tblPr>
      <w:tblGrid>
        <w:gridCol w:w="1098"/>
        <w:gridCol w:w="964"/>
        <w:gridCol w:w="968"/>
        <w:gridCol w:w="269"/>
        <w:gridCol w:w="2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6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restricted stock units with performance and service vesting conditions with no grant dates established (in thousands):</w:t>
      </w:r>
    </w:p>
    <w:tbl>
      <w:tblPr>
        <w:tblW w:w="6244" w:type="dxa"/>
        <w:jc w:val="left"/>
        <w:tblInd w:w="0" w:type="dxa"/>
        <w:tblLayout w:type="fixed"/>
        <w:tblCellMar>
          <w:top w:w="28" w:type="dxa"/>
          <w:left w:w="28" w:type="dxa"/>
          <w:bottom w:w="28" w:type="dxa"/>
          <w:right w:w="28" w:type="dxa"/>
        </w:tblCellMar>
      </w:tblPr>
      <w:tblGrid>
        <w:gridCol w:w="2011"/>
        <w:gridCol w:w="1766"/>
        <w:gridCol w:w="1773"/>
        <w:gridCol w:w="269"/>
        <w:gridCol w:w="271"/>
        <w:gridCol w:w="154"/>
      </w:tblGrid>
      <w:tr>
        <w:trPr/>
        <w:tc>
          <w:tcPr>
            <w:tcW w:w="201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(legal grant with no accounting grant date established)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(accounting grant date established)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i/>
          <w:color w:val="000000"/>
          <w:sz w:val="20"/>
        </w:rPr>
      </w:pPr>
      <w:r>
        <w:rPr>
          <w:rFonts w:ascii="Arial;sans-serif" w:hAnsi="Arial;sans-serif"/>
          <w:b/>
          <w:i/>
          <w:color w:val="000000"/>
          <w:sz w:val="20"/>
        </w:rPr>
        <w:t>Restricted stock units - market and service conditions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restricted stock units with market and service-based conditions with grant dates (in thousands):</w:t>
      </w:r>
    </w:p>
    <w:tbl>
      <w:tblPr>
        <w:tblW w:w="3665" w:type="dxa"/>
        <w:jc w:val="left"/>
        <w:tblInd w:w="0" w:type="dxa"/>
        <w:tblLayout w:type="fixed"/>
        <w:tblCellMar>
          <w:top w:w="28" w:type="dxa"/>
          <w:left w:w="28" w:type="dxa"/>
          <w:bottom w:w="28" w:type="dxa"/>
          <w:right w:w="28" w:type="dxa"/>
        </w:tblCellMar>
      </w:tblPr>
      <w:tblGrid>
        <w:gridCol w:w="1098"/>
        <w:gridCol w:w="964"/>
        <w:gridCol w:w="968"/>
        <w:gridCol w:w="240"/>
        <w:gridCol w:w="24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4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summarizes activity for restricted stock units with market and service-based conditions with no grant dates established (in thousands):</w:t>
      </w:r>
    </w:p>
    <w:tbl>
      <w:tblPr>
        <w:tblW w:w="4505" w:type="dxa"/>
        <w:jc w:val="left"/>
        <w:tblInd w:w="0" w:type="dxa"/>
        <w:tblLayout w:type="fixed"/>
        <w:tblCellMar>
          <w:top w:w="28" w:type="dxa"/>
          <w:left w:w="28" w:type="dxa"/>
          <w:bottom w:w="28" w:type="dxa"/>
          <w:right w:w="28" w:type="dxa"/>
        </w:tblCellMar>
      </w:tblPr>
      <w:tblGrid>
        <w:gridCol w:w="1419"/>
        <w:gridCol w:w="1245"/>
        <w:gridCol w:w="1251"/>
        <w:gridCol w:w="218"/>
        <w:gridCol w:w="218"/>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(accounting grant date established)</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590"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Note 11 – Income Taxes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determining quarterly provisions for income taxes, the Company uses the annual estimated effective tax rate applied to the actual year-to-date income, adjusted for discrete items arising in that quarter. The Company’s annual estimated effective tax rate differed from the U.S. federal statutory rate of 21% primarily as a result of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deductible officer compensation, stock-based compensation shortfalls, foreign taxes, changes in the Company’s valuation allowance for income taxes, and a one-time tax benefit associated with the base erosion and anti-abuse tax.</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quarters ended June 30, 2026 and 2025, the Company recorded $3.5 million and $6.2 million in income tax expense, respectively. For the six months ended June 30, 2026 and 2025, the Company recorded $9.4 million and $10.8 million in income tax expense, respectively. The decrease in income tax expense for the quarter and six months ended June 30, 2026, compared to the quarter and six months ended June 30, 2025, resulted primarily from a one-time tax benefit associated with the base erosion and anti-abuse tax recognized in the current quarter, along with changes in the mix of profitable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12 – Net Income per Share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net income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1852"/>
        <w:gridCol w:w="1570"/>
        <w:gridCol w:w="1576"/>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56"/>
      </w:tblGrid>
      <w:tr>
        <w:trPr/>
        <w:tc>
          <w:tcPr>
            <w:tcW w:w="185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per share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net income per share attributable to BlackLine, Inc.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 of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 for diluted calculation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securities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convertible senior notes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calculate diluted net income per share</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BlackLine, Inc.</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computes basic earnings per share attributable to BlackLine, Inc. using the weighted average number of common shares outstanding. The Company computes diluted earnings per share attributable to BlackLine, Inc. using the weighted average number of common shares outstanding plus the effect of potentially dilutive shares, which is based on the weighted-average shares of common stock underlying stock options and unvested stock awards using the treasury stock method, and the effect of the convertible senior notes using the if-converted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weighted average impact of potentially dilutive securities that were excluded from the diluted per share calculations because they were anti-dilutive were as follows (in thousands):</w:t>
      </w:r>
    </w:p>
    <w:tbl>
      <w:tblPr>
        <w:tblW w:w="10205" w:type="dxa"/>
        <w:jc w:val="left"/>
        <w:tblInd w:w="0" w:type="dxa"/>
        <w:tblLayout w:type="fixed"/>
        <w:tblCellMar>
          <w:top w:w="28" w:type="dxa"/>
          <w:left w:w="28" w:type="dxa"/>
          <w:bottom w:w="28" w:type="dxa"/>
          <w:right w:w="28" w:type="dxa"/>
        </w:tblCellMar>
      </w:tblPr>
      <w:tblGrid>
        <w:gridCol w:w="1809"/>
        <w:gridCol w:w="1587"/>
        <w:gridCol w:w="1589"/>
        <w:gridCol w:w="393"/>
        <w:gridCol w:w="253"/>
        <w:gridCol w:w="209"/>
        <w:gridCol w:w="209"/>
        <w:gridCol w:w="209"/>
        <w:gridCol w:w="209"/>
        <w:gridCol w:w="393"/>
        <w:gridCol w:w="253"/>
        <w:gridCol w:w="209"/>
        <w:gridCol w:w="109"/>
        <w:gridCol w:w="109"/>
        <w:gridCol w:w="109"/>
        <w:gridCol w:w="326"/>
        <w:gridCol w:w="320"/>
        <w:gridCol w:w="232"/>
        <w:gridCol w:w="232"/>
        <w:gridCol w:w="232"/>
        <w:gridCol w:w="232"/>
        <w:gridCol w:w="326"/>
        <w:gridCol w:w="320"/>
        <w:gridCol w:w="336"/>
      </w:tblGrid>
      <w:tr>
        <w:trPr/>
        <w:tc>
          <w:tcPr>
            <w:tcW w:w="1809"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 service-only vesting conditions</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2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569 </w:t>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3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 service-only vesting conditions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 performance and service conditions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 market and service conditions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Contingently returnable common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shares excluded from net income per share</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6,283 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2,516 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4,997 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denominator for diluted net income per share attributable to BlackLine, Inc. does not include any effect from the Capped Calls as this effect would be anti-dilutive. In the event of conversion of the 2029 Notes, shares delivered to the Company under the Capped Calls would offset the dilutive effect of the shares that the Company would issue under the Notes. Refer to “Note 8 - Convertible Senior Notes” for additional information on the Notes and the related Capped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13 – Commitments and Contingencies</w:t>
      </w:r>
    </w:p>
    <w:p>
      <w:pPr>
        <w:pStyle w:val="TextBody"/>
        <w:bidi w:val="0"/>
        <w:spacing w:lineRule="auto" w:line="288" w:before="120" w:after="283"/>
        <w:ind w:left="0" w:right="0" w:firstLine="495"/>
        <w:jc w:val="both"/>
        <w:rPr/>
      </w:pPr>
      <w:r>
        <w:rPr>
          <w:rFonts w:ascii="Arial;sans-serif" w:hAnsi="Arial;sans-serif"/>
          <w:b/>
          <w:i/>
          <w:color w:val="000000"/>
          <w:sz w:val="20"/>
        </w:rPr>
        <w:t>Litigation</w:t>
      </w:r>
      <w:r>
        <w:rPr>
          <w:color w:val="000000"/>
        </w:rPr>
        <w:t>—</w:t>
      </w:r>
      <w:r>
        <w:rPr>
          <w:rFonts w:ascii="Arial;sans-serif" w:hAnsi="Arial;sans-serif"/>
          <w:b w:val="false"/>
          <w:color w:val="000000"/>
          <w:sz w:val="20"/>
        </w:rPr>
        <w:t>From time to time, the Company may become subject to legal proceedings, claims, and litigation arising in the ordinary course of business. The Company is not currently a party to any legal proceedings, nor is it aware of any pending or threatened litigation that would have a material adverse effect on the Company’s business, operating results, cash flows, or financial condition should such litigation be resolved unfavorably.</w:t>
      </w:r>
    </w:p>
    <w:p>
      <w:pPr>
        <w:pStyle w:val="TextBody"/>
        <w:bidi w:val="0"/>
        <w:spacing w:lineRule="auto" w:line="288" w:before="120" w:after="283"/>
        <w:ind w:left="0" w:right="0" w:firstLine="495"/>
        <w:jc w:val="both"/>
        <w:rPr/>
      </w:pPr>
      <w:r>
        <w:rPr>
          <w:rFonts w:ascii="Arial;sans-serif" w:hAnsi="Arial;sans-serif"/>
          <w:b/>
          <w:i/>
          <w:color w:val="000000"/>
          <w:sz w:val="20"/>
        </w:rPr>
        <w:t>Indemnification</w:t>
      </w:r>
      <w:r>
        <w:rPr>
          <w:color w:val="000000"/>
        </w:rPr>
        <w:t>—</w:t>
      </w:r>
      <w:r>
        <w:rPr>
          <w:rFonts w:ascii="Arial;sans-serif" w:hAnsi="Arial;sans-serif"/>
          <w:b w:val="false"/>
          <w:color w:val="000000"/>
          <w:sz w:val="20"/>
        </w:rPr>
        <w:t>In the ordinary course of business, the Company may provide indemnification of varying scope and terms to customers, vendors, investors, directors, and officers with respect to certain matters, including, but not limited to, losses arising out of its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June 30, 2026 and December 31, 2025, the Company has not accrued a liability for these indemnification arrangements because the likelihood of incurring a payment obligation, if any, in connection with these indemnification arrangements was not probable or reasonably estimable.</w:t>
      </w:r>
    </w:p>
    <w:p>
      <w:pPr>
        <w:pStyle w:val="TextBody"/>
        <w:bidi w:val="0"/>
        <w:spacing w:lineRule="auto" w:line="288" w:before="120" w:after="283"/>
        <w:ind w:left="0" w:right="0" w:firstLine="495"/>
        <w:jc w:val="both"/>
        <w:rPr/>
      </w:pPr>
      <w:r>
        <w:rPr>
          <w:rFonts w:ascii="Arial;sans-serif" w:hAnsi="Arial;sans-serif"/>
          <w:b/>
          <w:i/>
          <w:color w:val="000000"/>
          <w:sz w:val="20"/>
        </w:rPr>
        <w:t xml:space="preserve">Operating Leases </w:t>
      </w:r>
      <w:r>
        <w:rPr>
          <w:color w:val="000000"/>
        </w:rPr>
        <w:t xml:space="preserve">— </w:t>
      </w:r>
      <w:r>
        <w:rPr>
          <w:rFonts w:ascii="Arial;sans-serif" w:hAnsi="Arial;sans-serif"/>
          <w:b w:val="false"/>
          <w:color w:val="000000"/>
          <w:sz w:val="20"/>
        </w:rPr>
        <w:t>At June 30, 2026, the Company committed $25.0 million for a lease signed but not yet commenced. This lease, which is expected to commence within the next twelve months, has a lease term of 15.5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Note 14 – Unearned Revenue and Performance Obligations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Revenue totaling $261.3 million and $237.9 million was recognized during the six months ended June 30, 2026 and 2025, respectively, that was previously included in the deferred revenue balance at December 31, 2025 and 2024, respectively.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Contracted but unrecognized revenue was $1.1 billion at June 30, 2026, of which the Company expects to recognize approximately 53%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Note 15 – Subsequent Events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Company continued its execution of the stock buyback program authorized by the Board. Refer to “Note 10 – Stockholders’ Equity” for additional information regarding the stock buyback program. For the period from July 1, 2026 through August 3, 2026, the Company repurchased and retired 0.3 million shares of common stock for an aggregate amount of $7.5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Board approved an increase to the stock repurchase program of an additional $100 million of the Company’s common stock on July 31, 2026. This increased the total authorization for repurchases under the stock repurchase program from $500 million to $600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360" w:after="283"/>
        <w:ind w:left="0" w:right="0" w:hanging="1440"/>
        <w:jc w:val="left"/>
        <w:rPr/>
      </w:pPr>
      <w:r>
        <w:rPr>
          <w:rFonts w:ascii="Arial;sans-serif" w:hAnsi="Arial;sans-serif"/>
          <w:b/>
          <w:color w:val="000000"/>
          <w:sz w:val="20"/>
        </w:rPr>
        <w:t>Item 2.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You should read the following discussion and analysis of our financial condition and results of operations together with the financial statements and related notes that are included elsewhere in this Quarterly Report on Form 10-Q and our Annual Report on Form 10-K for the fiscal year ended December 31, 2025 filed with the U.S. Securities and Exchange Commission (the “SEC”) on February 26, 2026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but not limited to, those discussed in the section entitled “Risk Factors” and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495"/>
        <w:jc w:val="center"/>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BlackLine’s Agentic Financial Operations Platform drives digital finance transformation by empowering organizations with accurate, efficient, and intelligent financial operations. Powered by Studio360 and using intelligence powered by Verity - a comprehensive suite of embedded, auditable AI capabilities - BlackLine unifies data, streamlines processes, and delivers real-time insights. Our platform is built on an architecture that separates the system processing transactions from the system that independently validates and controls them.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platform is comprised of four primary functional layers that work as one:</w:t>
      </w:r>
    </w:p>
    <w:p>
      <w:pPr>
        <w:pStyle w:val="TextBody"/>
        <w:bidi w:val="0"/>
        <w:spacing w:lineRule="auto" w:line="288" w:before="120" w:after="283"/>
        <w:ind w:left="0" w:right="0" w:hanging="720"/>
        <w:jc w:val="both"/>
        <w:rPr/>
      </w:pPr>
      <w:r>
        <w:rPr>
          <w:color w:val="000000"/>
        </w:rPr>
        <w:t>•</w:t>
      </w:r>
      <w:r>
        <w:rPr>
          <w:rFonts w:ascii="Arial;sans-serif" w:hAnsi="Arial;sans-serif"/>
          <w:b/>
          <w:color w:val="000000"/>
          <w:sz w:val="20"/>
        </w:rPr>
        <w:t>The Unified Financial Data Foundation:</w:t>
      </w:r>
      <w:r>
        <w:rPr>
          <w:color w:val="000000"/>
        </w:rPr>
        <w:t xml:space="preserve"> </w:t>
      </w:r>
      <w:r>
        <w:rPr>
          <w:rFonts w:ascii="Arial;sans-serif" w:hAnsi="Arial;sans-serif"/>
          <w:b w:val="false"/>
          <w:color w:val="000000"/>
          <w:sz w:val="20"/>
        </w:rPr>
        <w:t>Aggregates and harmonizes transactional data from disparate enterprise resource planning (“ERP”) and banking systems into a consolidated, extensible data model.</w:t>
      </w:r>
    </w:p>
    <w:p>
      <w:pPr>
        <w:pStyle w:val="TextBody"/>
        <w:bidi w:val="0"/>
        <w:spacing w:lineRule="auto" w:line="288" w:before="120" w:after="283"/>
        <w:ind w:left="0" w:right="0" w:hanging="720"/>
        <w:jc w:val="both"/>
        <w:rPr/>
      </w:pPr>
      <w:r>
        <w:rPr>
          <w:color w:val="000000"/>
        </w:rPr>
        <w:t>•</w:t>
      </w:r>
      <w:r>
        <w:rPr>
          <w:rFonts w:ascii="Arial;sans-serif" w:hAnsi="Arial;sans-serif"/>
          <w:b/>
          <w:color w:val="000000"/>
          <w:sz w:val="20"/>
        </w:rPr>
        <w:t>The Auditable Trust and Governance Layer:</w:t>
      </w:r>
      <w:r>
        <w:rPr>
          <w:color w:val="000000"/>
        </w:rPr>
        <w:t xml:space="preserve"> </w:t>
      </w:r>
      <w:r>
        <w:rPr>
          <w:rFonts w:ascii="Arial;sans-serif" w:hAnsi="Arial;sans-serif"/>
          <w:b w:val="false"/>
          <w:color w:val="000000"/>
          <w:sz w:val="20"/>
        </w:rPr>
        <w:t>Enforces configurable rules, permissions, and financial controls to ensure system and user actions remain traceable and compliant.</w:t>
      </w:r>
    </w:p>
    <w:p>
      <w:pPr>
        <w:pStyle w:val="TextBody"/>
        <w:bidi w:val="0"/>
        <w:spacing w:lineRule="auto" w:line="288" w:before="120" w:after="283"/>
        <w:ind w:left="0" w:right="0" w:hanging="720"/>
        <w:jc w:val="both"/>
        <w:rPr/>
      </w:pPr>
      <w:r>
        <w:rPr>
          <w:color w:val="000000"/>
        </w:rPr>
        <w:t>•</w:t>
      </w:r>
      <w:r>
        <w:rPr>
          <w:rFonts w:ascii="Arial;sans-serif" w:hAnsi="Arial;sans-serif"/>
          <w:b/>
          <w:color w:val="000000"/>
          <w:sz w:val="20"/>
        </w:rPr>
        <w:t>The Event-Driven Orchestration Engine:</w:t>
      </w:r>
      <w:r>
        <w:rPr>
          <w:color w:val="000000"/>
        </w:rPr>
        <w:t xml:space="preserve"> </w:t>
      </w:r>
      <w:r>
        <w:rPr>
          <w:rFonts w:ascii="Arial;sans-serif" w:hAnsi="Arial;sans-serif"/>
          <w:b w:val="false"/>
          <w:color w:val="000000"/>
          <w:sz w:val="20"/>
        </w:rPr>
        <w:t>Sequences and automates workflows in real time across systems, personnel, and artificial intelligence agents.</w:t>
      </w:r>
    </w:p>
    <w:p>
      <w:pPr>
        <w:pStyle w:val="TextBody"/>
        <w:bidi w:val="0"/>
        <w:spacing w:lineRule="auto" w:line="288" w:before="120" w:after="283"/>
        <w:ind w:left="0" w:right="0" w:hanging="720"/>
        <w:jc w:val="both"/>
        <w:rPr/>
      </w:pPr>
      <w:r>
        <w:rPr>
          <w:color w:val="000000"/>
        </w:rPr>
        <w:t>•</w:t>
      </w:r>
      <w:r>
        <w:rPr>
          <w:rFonts w:ascii="Arial;sans-serif" w:hAnsi="Arial;sans-serif"/>
          <w:b/>
          <w:color w:val="000000"/>
          <w:sz w:val="20"/>
        </w:rPr>
        <w:t>The Embedded Intelligence Layer (Verity AI):</w:t>
      </w:r>
      <w:r>
        <w:rPr>
          <w:color w:val="000000"/>
        </w:rPr>
        <w:t xml:space="preserve"> </w:t>
      </w:r>
      <w:r>
        <w:rPr>
          <w:rFonts w:ascii="Arial;sans-serif" w:hAnsi="Arial;sans-serif"/>
          <w:b w:val="false"/>
          <w:color w:val="000000"/>
          <w:sz w:val="20"/>
        </w:rPr>
        <w:t xml:space="preserve">Integrates machine learning, generative artificial intelligence, and agentic reasoning directly into financial workflows to assist with risk detection, proposing solutions, and automating decision-making under the direction and oversight of finance and accounting teams.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are a holding company and conduct our operations through our wholly-owned subsidiary, BlackLine Systems, Inc.</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we had 4,260 customers, exclusive of on-premise software. Additionally, we continue to build strategic relationships with technology vendors, providers of learning language models, professional services firms, business process outsourcers, and resellers.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cloud-based solutions, delivered by our BlackLine Studio360 Platform, include Account Reconciliations, Transaction Matching, Task Management, Reporting &amp; Analysis, Journal Entry, Journals Risk Analyser, Account Analysis, Consolidation, Compliance, Smart Close for SAP, Verity Accruals, Cash Application, Credit &amp; Risk Management, Collections Management, Disputes &amp; Deductions Management, Team &amp; Task Management, AR Intelligence, Electronic Invoicing &amp; Payments, Intercompany Create, Intercompany Balance &amp; Resolve, and Intercompany Net &amp; Settle.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derived approximately 95% of our revenue from subscriptions to our cloud-based software platform and approximately 5% from professional services for the six months ended June 30, 2026. Our subscription contracts have initial non-cancellable terms of one year to three years with renewal options. The majority of new contracts in 2025 and during the six months ended June 30, 2026 carried an initial non-cancellable term of three years. In 2025, we updated our pricing model to reflect the value of our solutions based on factors such as product mix, organization size, and volumetrics (e.g., number of transactions or entities). We typically invoice subscription fees annually in advance, which are initially recorded as deferred revenue and recognized ratably over the contract term. First-year subscription fees are generally payable within 30 days of contract execution, with subsequent fees due upon renewal.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Professional services consist primarily of implementation and consulting services. Our products are available for immediate use upon granting customer access. We typically assist customers with implementation and provide consulting services to help them optimize the use of our solutions. We invoice customers for our consulting services on a time-and-materials basis and recognize that revenue as services are performed. A limited number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customers are provided professional services for a fixed fee, for which we invoice in advance. The fee is initially recorded as deferred revenue and recognized on a proportional-performance basis as the services are rendered.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sell our solutions primarily through our direct sales force, which leverages our relationships with technology vendors, professional services firms, and business process outsourcers. Our solutions integrate with SAP’s ERP systems, and SAP resells our product as SAP SolEx, for which we receive a percentage of the related revenues. We also maintain a strategic agreement with Google Cloud through which we jointly engage in selling and go-to-market activities to bring enhanced automation capabilities to customers.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ability to maximize the lifetime value of our customer relationships depends, in part, on the willingness of customers to purchase additional licenses and products from us. Our sales and customer success teams focus on maintaining high satisfaction and educating customers on the value and use of our full product portfolio to support account expansion.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The length of our sales cycle depends on the size of a potential customer and contract, as well as the type of solution or product being purchased. Sales cycles for global enterprise customers are generally longer than those for mid-size customers, and cycle duration increases for larger or more strategic products, such as our Intercompany solutions. As we focus on increasing average contract size and expanding adoption of strategic products, we have seen and expect the sales cycle to lengthen and remain less predictable which may contribute to variability in period-to-period results.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historically signed a high percentage of agreements with new customers, as well as renewal agreements with existing customers, in the fourth quarter of each year and usually during the last month of the quarter. Because a significant number of contracts have renewal terms of one year, agreements entered into late in the year typically renew during the same period in subsequent years. While this seasonality is reflected in our billings and bookings, the impact on overall revenue is minimal due to our ratable revenue recognition model.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quarters ended June 30, 2026 and 2025, we had revenues totaling $187.8 million and $172.0 million, respectively. We generated net income attributable to BlackLine, Inc. of $16.5 million and $8.3 million for the quarters ended June 30, 2026 and 2025, respectively.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2026 and 2025, we had revenues totaling $371.0 million and $339.0 million, respectively. We generated net income attributable to BlackLine, Inc. of $24.6 million and $14.3 million for the six months ended June 30, 2026 and 2025, respectively.</w:t>
      </w:r>
    </w:p>
    <w:p>
      <w:pPr>
        <w:pStyle w:val="TextBody"/>
        <w:bidi w:val="0"/>
        <w:spacing w:lineRule="auto" w:line="288" w:before="240" w:after="283"/>
        <w:ind w:left="0" w:right="0" w:firstLine="495"/>
        <w:jc w:val="left"/>
        <w:rPr>
          <w:rFonts w:ascii="Arial;sans-serif" w:hAnsi="Arial;sans-serif"/>
          <w:b/>
          <w:i/>
          <w:color w:val="000000"/>
          <w:sz w:val="20"/>
        </w:rPr>
      </w:pPr>
      <w:r>
        <w:rPr>
          <w:rFonts w:ascii="Arial;sans-serif" w:hAnsi="Arial;sans-serif"/>
          <w:b/>
          <w:i/>
          <w:color w:val="000000"/>
          <w:sz w:val="20"/>
        </w:rPr>
        <w:t xml:space="preserve">Global Macroeconomic Factors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operating results may vary due to the impact of industry or global economic conditions on us or our customers. General macroeconomic conditions, such as political conflicts, recession, inflation or rising interest rates, an economic downturn in the U.S. or internationally, adverse business conditions and liquidity concerns, have and could continue to adversely affect demand for our products and make it difficult to accurately forecast and plan our future business activities. As a result of economic uncertainty, and protracted vendor selection processes associated with our customers’ analysis of our, and others’ AI offerings, we may see customers delay and defer purchasing decisions, which could adversely impact our near-term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Key Metrics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regularly review a number of metrics, including the following key metrics, to evaluate our business and performance, identify trends affecting our business, formulate financial projections, and make strategic decisions.</w:t>
      </w:r>
    </w:p>
    <w:tbl>
      <w:tblPr>
        <w:tblW w:w="10205" w:type="dxa"/>
        <w:jc w:val="left"/>
        <w:tblInd w:w="0" w:type="dxa"/>
        <w:tblLayout w:type="fixed"/>
        <w:tblCellMar>
          <w:top w:w="28" w:type="dxa"/>
          <w:left w:w="28" w:type="dxa"/>
          <w:bottom w:w="28" w:type="dxa"/>
          <w:right w:w="28" w:type="dxa"/>
        </w:tblCellMar>
      </w:tblPr>
      <w:tblGrid>
        <w:gridCol w:w="1172"/>
        <w:gridCol w:w="1030"/>
        <w:gridCol w:w="1035"/>
        <w:gridCol w:w="109"/>
        <w:gridCol w:w="109"/>
        <w:gridCol w:w="109"/>
        <w:gridCol w:w="109"/>
        <w:gridCol w:w="109"/>
        <w:gridCol w:w="266"/>
        <w:gridCol w:w="218"/>
        <w:gridCol w:w="522"/>
        <w:gridCol w:w="109"/>
        <w:gridCol w:w="109"/>
        <w:gridCol w:w="109"/>
        <w:gridCol w:w="269"/>
        <w:gridCol w:w="219"/>
        <w:gridCol w:w="527"/>
        <w:gridCol w:w="109"/>
        <w:gridCol w:w="109"/>
        <w:gridCol w:w="109"/>
        <w:gridCol w:w="272"/>
        <w:gridCol w:w="219"/>
        <w:gridCol w:w="531"/>
        <w:gridCol w:w="109"/>
        <w:gridCol w:w="109"/>
        <w:gridCol w:w="109"/>
        <w:gridCol w:w="269"/>
        <w:gridCol w:w="219"/>
        <w:gridCol w:w="527"/>
        <w:gridCol w:w="109"/>
        <w:gridCol w:w="109"/>
        <w:gridCol w:w="109"/>
        <w:gridCol w:w="253"/>
        <w:gridCol w:w="216"/>
        <w:gridCol w:w="588"/>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3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 30, 2026</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Dollar-based net revenue retention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Platform pricing ARR as a percentage of eligible ARR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w:t>
            </w:r>
          </w:p>
        </w:tc>
      </w:tr>
    </w:tbl>
    <w:p>
      <w:pPr>
        <w:pStyle w:val="TextBody"/>
        <w:bidi w:val="0"/>
        <w:spacing w:lineRule="auto" w:line="288" w:before="120" w:after="283"/>
        <w:ind w:left="0" w:right="0" w:firstLine="495"/>
        <w:jc w:val="both"/>
        <w:rPr/>
      </w:pPr>
      <w:r>
        <w:rPr>
          <w:rFonts w:ascii="Arial;sans-serif" w:hAnsi="Arial;sans-serif"/>
          <w:b/>
          <w:i/>
          <w:color w:val="000000"/>
          <w:sz w:val="20"/>
        </w:rPr>
        <w:t xml:space="preserve">Dollar-based net revenue retention rate. </w:t>
      </w:r>
      <w:r>
        <w:rPr>
          <w:rFonts w:ascii="Arial;sans-serif" w:hAnsi="Arial;sans-serif"/>
          <w:b w:val="false"/>
          <w:color w:val="000000"/>
          <w:sz w:val="20"/>
        </w:rPr>
        <w:t xml:space="preserve">We believe that dollar-based net revenue retention rate is an important metric to measure the 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At June 30, 2026, our dollar-based net revenue retention rate declined from the quarter ended March 31, 2026, primarily due to the impact of unfavorable foreign exchange rates. Our ability to maximize the lifetime value of our customer relationships will depend, in part, on the willingness of the customer to purchase additional products from us. We rely on our customer success and sales teams to support and grow our existing customers by maintaining high customer satisfaction and educating the customer on the value our products provide.</w:t>
      </w:r>
    </w:p>
    <w:p>
      <w:pPr>
        <w:pStyle w:val="TextBody"/>
        <w:bidi w:val="0"/>
        <w:spacing w:lineRule="auto" w:line="288" w:before="120" w:after="283"/>
        <w:ind w:left="0" w:right="0" w:firstLine="495"/>
        <w:jc w:val="both"/>
        <w:rPr/>
      </w:pPr>
      <w:r>
        <w:rPr>
          <w:rFonts w:ascii="Arial;sans-serif" w:hAnsi="Arial;sans-serif"/>
          <w:b/>
          <w:i/>
          <w:color w:val="000000"/>
          <w:sz w:val="20"/>
        </w:rPr>
        <w:t>Platform pricing ARR as a percentage of eligible ARR.</w:t>
      </w:r>
      <w:r>
        <w:rPr>
          <w:color w:val="000000"/>
        </w:rPr>
        <w:t xml:space="preserve"> </w:t>
      </w:r>
      <w:r>
        <w:rPr>
          <w:rFonts w:ascii="Arial;sans-serif" w:hAnsi="Arial;sans-serif"/>
          <w:b w:val="false"/>
          <w:color w:val="000000"/>
          <w:sz w:val="20"/>
        </w:rPr>
        <w:t xml:space="preserve">Platform pricing ARR as a percentage of eligible ARR is calculated as platform annual recurring revenue divided by our eligible annual recurring revenue. We define eligible ARR as total annual recurring revenue, excluding revenue from SAP SolEx and the public sector. Management believes that this metric is useful for tracking the progress of the new pricing strategy launched in 2025. </w:t>
      </w:r>
    </w:p>
    <w:p>
      <w:pPr>
        <w:pStyle w:val="TextBody"/>
        <w:bidi w:val="0"/>
        <w:spacing w:lineRule="auto" w:line="288" w:before="120" w:after="283"/>
        <w:ind w:left="0" w:right="0" w:firstLine="495"/>
        <w:jc w:val="both"/>
        <w:rPr/>
      </w:pPr>
      <w:r>
        <w:rPr>
          <w:rFonts w:ascii="Arial;sans-serif" w:hAnsi="Arial;sans-serif"/>
          <w:b/>
          <w:i/>
          <w:color w:val="000000"/>
          <w:sz w:val="20"/>
        </w:rPr>
        <w:t xml:space="preserve">Number of customers. </w:t>
      </w:r>
      <w:r>
        <w:rPr>
          <w:rFonts w:ascii="Arial;sans-serif" w:hAnsi="Arial;sans-serif"/>
          <w:b w:val="false"/>
          <w:color w:val="000000"/>
          <w:sz w:val="20"/>
        </w:rPr>
        <w:t>We believe that our ability to expand our customer base is an indicator of our market penetration and the growth of our business. We define a customer as a company that contributes to our subscription and support revenue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w:t>
      </w:r>
      <w:r>
        <w:rPr>
          <w:color w:val="000000"/>
        </w:rPr>
        <w:t xml:space="preserve"> </w:t>
      </w:r>
      <w:r>
        <w:rPr>
          <w:rFonts w:ascii="Arial;sans-serif" w:hAnsi="Arial;sans-serif"/>
          <w:b w:val="false"/>
          <w:color w:val="000000"/>
          <w:sz w:val="20"/>
        </w:rPr>
        <w:t>any incremental increase in revenue, such customer continues to be treated as a single customer. For the quarters and six months ended June 30, 2026 and 2025, no single customer accounted for more than 10% of our total revenues.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total number of customers at June 30, 2026 declined marginally compared to June 30, 2025, primarily due to our strategic prioritization of enterprise and mega</w:t>
        <w:noBreakHyphen/>
        <w:t>enterprise customers. Importantly, this shift reflects our focus on higher</w:t>
        <w:noBreakHyphen/>
        <w:t>quality revenue and long</w:t>
        <w:noBreakHyphen/>
        <w:t>term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 operations and facilitate comparisons with other peer companies, many of which use similar non-GAAP financial measures to supplement their GAAP results.</w:t>
      </w:r>
    </w:p>
    <w:tbl>
      <w:tblPr>
        <w:tblW w:w="10205" w:type="dxa"/>
        <w:jc w:val="left"/>
        <w:tblInd w:w="0" w:type="dxa"/>
        <w:tblLayout w:type="fixed"/>
        <w:tblCellMar>
          <w:top w:w="28" w:type="dxa"/>
          <w:left w:w="28" w:type="dxa"/>
          <w:bottom w:w="28" w:type="dxa"/>
          <w:right w:w="28" w:type="dxa"/>
        </w:tblCellMar>
      </w:tblPr>
      <w:tblGrid>
        <w:gridCol w:w="1455"/>
        <w:gridCol w:w="1153"/>
        <w:gridCol w:w="1157"/>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45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142,678 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281,828 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255,410 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GAAP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GAAP net income attributable to BlackLine,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net income per share attributable to BlackLine,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362"/>
        <w:gridCol w:w="1198"/>
        <w:gridCol w:w="1206"/>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2"/>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150,944 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297,897 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269,979 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72,960 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3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Non-GAAP net income attributable to BlackLine,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74,226 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non-GAAP net income per share attributable to BlackLine,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pPr>
      <w:r>
        <w:rPr>
          <w:rFonts w:ascii="Arial;sans-serif" w:hAnsi="Arial;sans-serif"/>
          <w:b w:val="false"/>
          <w:i/>
          <w:color w:val="000000"/>
          <w:sz w:val="20"/>
        </w:rPr>
        <w:t>Non-GAAP Gross Profit and Non-GAAP Gross Margin.</w:t>
      </w:r>
      <w:r>
        <w:rPr>
          <w:color w:val="000000"/>
        </w:rPr>
        <w:t> </w:t>
      </w:r>
      <w:r>
        <w:rPr>
          <w:rFonts w:ascii="Arial;sans-serif" w:hAnsi="Arial;sans-serif"/>
          <w:b w:val="false"/>
          <w:color w:val="000000"/>
          <w:sz w:val="20"/>
        </w:rPr>
        <w:t>Non-GAAP gross profit is defined as GAAP revenues less GAAP cost of revenue adjusted for amortization of acquired developed technology, stock-based compensation, and transaction-related costs (including, but not limited to, accounting, legal, and advisory fees related to the transaction, as well as transaction-related retention bonuses). Non-GAAP gross margin is defined as non-GAAP gross profit divided by GAAP revenues. We believe that presenting non-GAAP gross profit and non-GAAP gross margin is useful to investors as it eliminates the impact of certain non-cash expenses and allows a direct comparison of gross profit between periods.</w:t>
      </w:r>
    </w:p>
    <w:p>
      <w:pPr>
        <w:pStyle w:val="TextBody"/>
        <w:bidi w:val="0"/>
        <w:spacing w:lineRule="auto" w:line="288" w:before="120" w:after="283"/>
        <w:ind w:left="0" w:right="0" w:firstLine="495"/>
        <w:jc w:val="both"/>
        <w:rPr/>
      </w:pPr>
      <w:r>
        <w:rPr>
          <w:rFonts w:ascii="Arial;sans-serif" w:hAnsi="Arial;sans-serif"/>
          <w:b w:val="false"/>
          <w:i/>
          <w:color w:val="000000"/>
          <w:sz w:val="20"/>
        </w:rPr>
        <w:t>Non-GAAP Income from Operations and Non-GAAP Operating Margin</w:t>
      </w:r>
      <w:r>
        <w:rPr>
          <w:rFonts w:ascii="Arial;sans-serif" w:hAnsi="Arial;sans-serif"/>
          <w:b w:val="false"/>
          <w:color w:val="000000"/>
          <w:sz w:val="20"/>
        </w:rPr>
        <w:t>. Non-GAAP income from operations is defined as GAAP income from operations adjusted for amortization of intangible assets, stock-based compensation, change in fair value of contingent consideration, transaction-related costs, restructuring costs, and legal settlement gains or costs. Non-GAAP operating margin is defined as non-GAAP income from operations divided by GAAP revenues. We believe that presenting non-GAAP income from operations and non-GAAP operating margin is useful to investors as it eliminates the impact of items that have been impacted by our acquisitions and other related costs in order to allow a direct comparison of income from operations between all periods presented.</w:t>
      </w:r>
    </w:p>
    <w:p>
      <w:pPr>
        <w:pStyle w:val="TextBody"/>
        <w:bidi w:val="0"/>
        <w:spacing w:lineRule="auto" w:line="288" w:before="120" w:after="283"/>
        <w:ind w:left="0" w:right="0" w:firstLine="495"/>
        <w:jc w:val="both"/>
        <w:rPr/>
      </w:pPr>
      <w:r>
        <w:rPr>
          <w:rFonts w:ascii="Arial;sans-serif" w:hAnsi="Arial;sans-serif"/>
          <w:b w:val="false"/>
          <w:i/>
          <w:color w:val="000000"/>
          <w:sz w:val="20"/>
        </w:rPr>
        <w:t>Non-GAAP Net Income Attributable to BlackLine and Diluted Non-GAAP Net Income Per Share Attributable to BlackLine,</w:t>
      </w:r>
      <w:r>
        <w:rPr>
          <w:color w:val="000000"/>
        </w:rPr>
        <w:t xml:space="preserve"> </w:t>
      </w:r>
      <w:r>
        <w:rPr>
          <w:rFonts w:ascii="Arial;sans-serif" w:hAnsi="Arial;sans-serif"/>
          <w:b w:val="false"/>
          <w:color w:val="000000"/>
          <w:sz w:val="20"/>
        </w:rPr>
        <w:t>Inc. Non-GAAP net income attributable to BlackLine is defined as GAAP net income attributable to BlackLine adjusted for the income tax effects of acquisitions, stock-based compensation shortfalls and windfalls, and the discrete tax impact of other non-GAAP adjustments, amortization of intangible assets, stock-based compensation, amortization of debt issuance costs from our 1.00% Convertible Senior Notes due in 2029 (the “2029 Notes”) and 0.00% Convertible Senior Notes, which matured and were paid off in 2026 (the “2026 Notes” and, together with the 2029 Notes, the “Notes” or “convertible senior notes”), change in fair value of contingent consideration, transaction-related costs, restructuring costs, legal settlement gains or costs, adjustment to the redeemable non-controlling interest to the redemption amount, and gain on extinguishment of convertible senior notes. Diluted non-GAAP net income per share attributable to BlackLine, Inc. includes the adjustment for shares resulting from the elimination of stock-based compensation. We believe that presenting non-GAAP net income attributable to BlackLine is useful to investors as it eliminates the impact of items that have been impacted by our acquisitions and other related costs to allow a direct comparison of net income between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Reconciliation of Non-GAAP Financial Measures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presents a reconciliation of gross profit, gross margin, operating income, operating margin, and net income, the most comparable GAAP measures, to non-GAAP gross profit, non-GAAP gross margin, non-GAAP operating income, non-GAAP operating margin, and non-GAAP net income:</w:t>
      </w:r>
    </w:p>
    <w:tbl>
      <w:tblPr>
        <w:tblW w:w="10205" w:type="dxa"/>
        <w:jc w:val="left"/>
        <w:tblInd w:w="0" w:type="dxa"/>
        <w:tblLayout w:type="fixed"/>
        <w:tblCellMar>
          <w:top w:w="28" w:type="dxa"/>
          <w:left w:w="28" w:type="dxa"/>
          <w:bottom w:w="28" w:type="dxa"/>
          <w:right w:w="28" w:type="dxa"/>
        </w:tblCellMar>
      </w:tblPr>
      <w:tblGrid>
        <w:gridCol w:w="1542"/>
        <w:gridCol w:w="1110"/>
        <w:gridCol w:w="1113"/>
        <w:gridCol w:w="211"/>
        <w:gridCol w:w="856"/>
        <w:gridCol w:w="286"/>
        <w:gridCol w:w="109"/>
        <w:gridCol w:w="109"/>
        <w:gridCol w:w="109"/>
        <w:gridCol w:w="211"/>
        <w:gridCol w:w="856"/>
        <w:gridCol w:w="286"/>
        <w:gridCol w:w="109"/>
        <w:gridCol w:w="109"/>
        <w:gridCol w:w="109"/>
        <w:gridCol w:w="211"/>
        <w:gridCol w:w="856"/>
        <w:gridCol w:w="286"/>
        <w:gridCol w:w="109"/>
        <w:gridCol w:w="109"/>
        <w:gridCol w:w="109"/>
        <w:gridCol w:w="211"/>
        <w:gridCol w:w="856"/>
        <w:gridCol w:w="333"/>
      </w:tblGrid>
      <w:tr>
        <w:trPr/>
        <w:tc>
          <w:tcPr>
            <w:tcW w:w="154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Gross Profit:</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142,678 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281,828 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255,410 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acquired developed technology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non-GAAP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150,944 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137,145 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297,897 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269,979 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79.7</w:t>
            </w:r>
          </w:p>
        </w:tc>
        <w:tc>
          <w:tcPr>
            <w:tcW w:w="3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Operating Income: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11,120 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44,990 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legal settlement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non-GAAP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43,812 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83,416 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72,960 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operating margin</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3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Net Income Attributable to BlackLine, Inc.:</w:t>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7,118 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44,755 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3,138 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legal settlement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to redeemable 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non-GAAP net income attributable to BlackLine,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42,909 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37,902 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82,515 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74,226 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sets forth our statements of operations information for each of the periods indicated:</w:t>
      </w:r>
    </w:p>
    <w:tbl>
      <w:tblPr>
        <w:tblW w:w="10205" w:type="dxa"/>
        <w:jc w:val="left"/>
        <w:tblInd w:w="0" w:type="dxa"/>
        <w:tblLayout w:type="fixed"/>
        <w:tblCellMar>
          <w:top w:w="28" w:type="dxa"/>
          <w:left w:w="28" w:type="dxa"/>
          <w:bottom w:w="28" w:type="dxa"/>
          <w:right w:w="28" w:type="dxa"/>
        </w:tblCellMar>
      </w:tblPr>
      <w:tblGrid>
        <w:gridCol w:w="1650"/>
        <w:gridCol w:w="1403"/>
        <w:gridCol w:w="1420"/>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6"/>
      </w:tblGrid>
      <w:tr>
        <w:trPr/>
        <w:tc>
          <w:tcPr>
            <w:tcW w:w="165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338,956 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264,603 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redeemable non-controlling interest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Adjustment attributable to redeemable non-controlling interest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BlackLine,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14,347 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i/>
          <w:color w:val="000000"/>
          <w:sz w:val="20"/>
        </w:rPr>
      </w:pPr>
      <w:r>
        <w:rPr>
          <w:rFonts w:ascii="Arial;sans-serif" w:hAnsi="Arial;sans-serif"/>
          <w:b/>
          <w:i/>
          <w:color w:val="000000"/>
          <w:sz w:val="20"/>
        </w:rPr>
        <w:t>Comparison of Quarters and Six Months Ended June 30, 2026 and 2025</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Revenues</w:t>
      </w:r>
    </w:p>
    <w:tbl>
      <w:tblPr>
        <w:tblW w:w="11585" w:type="dxa"/>
        <w:jc w:val="left"/>
        <w:tblInd w:w="0" w:type="dxa"/>
        <w:tblLayout w:type="fixed"/>
        <w:tblCellMar>
          <w:top w:w="28" w:type="dxa"/>
          <w:left w:w="28" w:type="dxa"/>
          <w:bottom w:w="28" w:type="dxa"/>
          <w:right w:w="28" w:type="dxa"/>
        </w:tblCellMar>
      </w:tblPr>
      <w:tblGrid>
        <w:gridCol w:w="435"/>
        <w:gridCol w:w="382"/>
        <w:gridCol w:w="384"/>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58"/>
        <w:gridCol w:w="158"/>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158"/>
        <w:gridCol w:w="158"/>
        <w:gridCol w:w="33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370,977 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338,956 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tbl>
      <w:tblPr>
        <w:tblW w:w="6991" w:type="dxa"/>
        <w:jc w:val="left"/>
        <w:tblInd w:w="0" w:type="dxa"/>
        <w:tblLayout w:type="fixed"/>
        <w:tblCellMar>
          <w:top w:w="28" w:type="dxa"/>
          <w:left w:w="28" w:type="dxa"/>
          <w:bottom w:w="28" w:type="dxa"/>
          <w:right w:w="28" w:type="dxa"/>
        </w:tblCellMar>
      </w:tblPr>
      <w:tblGrid>
        <w:gridCol w:w="1722"/>
        <w:gridCol w:w="1513"/>
        <w:gridCol w:w="1520"/>
        <w:gridCol w:w="322"/>
        <w:gridCol w:w="324"/>
        <w:gridCol w:w="286"/>
        <w:gridCol w:w="109"/>
        <w:gridCol w:w="109"/>
        <w:gridCol w:w="109"/>
        <w:gridCol w:w="322"/>
        <w:gridCol w:w="324"/>
        <w:gridCol w:w="331"/>
      </w:tblGrid>
      <w:tr>
        <w:trPr/>
        <w:tc>
          <w:tcPr>
            <w:tcW w:w="172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Dollar-based net revenue retention rate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Platform pricing ARR as a percentage of eligible ARR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Number of customers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4,451 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revenues for the quarter and six months ended June 30, 2026, compared to the quarter and six months ended June 30, 2025, was primarily driven by revenue from product expansion from existing customers and bookings from new customers. The total number of customers at June 30, 2026 declined marginally compared to June 30, 2025, primarily due to our strategic prioritization of enterprise and mega</w:t>
        <w:noBreakHyphen/>
        <w:t>enterprise customers. Importantly, this shift reflects our focus on higher</w:t>
        <w:noBreakHyphen/>
        <w:t>quality revenue and long</w:t>
        <w:noBreakHyphen/>
        <w:t>term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Cost of revenues</w:t>
      </w:r>
    </w:p>
    <w:tbl>
      <w:tblPr>
        <w:tblW w:w="11467" w:type="dxa"/>
        <w:jc w:val="left"/>
        <w:tblInd w:w="0" w:type="dxa"/>
        <w:tblLayout w:type="fixed"/>
        <w:tblCellMar>
          <w:top w:w="28" w:type="dxa"/>
          <w:left w:w="28" w:type="dxa"/>
          <w:bottom w:w="28" w:type="dxa"/>
          <w:right w:w="28" w:type="dxa"/>
        </w:tblCellMar>
      </w:tblPr>
      <w:tblGrid>
        <w:gridCol w:w="435"/>
        <w:gridCol w:w="382"/>
        <w:gridCol w:w="384"/>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09"/>
        <w:gridCol w:w="109"/>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09"/>
        <w:gridCol w:w="109"/>
        <w:gridCol w:w="33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and support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35,189 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45,144 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42,622 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89,149 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83,546 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75.2</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total cost of revenues for the quarter ended June 30, 2026, compared to the quarter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$2.9 million increase in computer software expenses due to higher cloud hosting costs and continued strategic investments in our embedded product solutions;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$0.6 million increase in amortization of developed technology due to net additions to software placed into service;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$0.7 million decrease in employee compensation and benefits;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$0.6 million decrease in professional fees.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total cost of revenues for the six months ended June 30, 2026, compared to the six months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$6.6 million increase in computer software expenses due to higher cloud hosting costs and continued strategic investments in our embedded product solutions;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$1.3 million increase in amortization of developed technology due to net additions to software placed into service;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$0.4 million increase in depreciation and amortization due to the addition of developed technology from the WiseLayer acquisition, net of certain assets becoming fully amortized in prior periods;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$1.7 million decrease in employee compensation and benefits;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$1.1 million decrease in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Sales and marketing</w:t>
      </w:r>
    </w:p>
    <w:tbl>
      <w:tblPr>
        <w:tblW w:w="11587" w:type="dxa"/>
        <w:jc w:val="left"/>
        <w:tblInd w:w="0" w:type="dxa"/>
        <w:tblLayout w:type="fixed"/>
        <w:tblCellMar>
          <w:top w:w="28" w:type="dxa"/>
          <w:left w:w="28" w:type="dxa"/>
          <w:bottom w:w="28" w:type="dxa"/>
          <w:right w:w="28" w:type="dxa"/>
        </w:tblCellMar>
      </w:tblPr>
      <w:tblGrid>
        <w:gridCol w:w="488"/>
        <w:gridCol w:w="311"/>
        <w:gridCol w:w="312"/>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09"/>
        <w:gridCol w:w="109"/>
        <w:gridCol w:w="286"/>
        <w:gridCol w:w="109"/>
        <w:gridCol w:w="109"/>
        <w:gridCol w:w="109"/>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109"/>
        <w:gridCol w:w="109"/>
        <w:gridCol w:w="331"/>
      </w:tblGrid>
      <w:tr>
        <w:trPr/>
        <w:tc>
          <w:tcPr>
            <w:tcW w:w="48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11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68,489 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135,910 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sales and marketing expenses for the quarter ended June 30, 2026, compared to the quarter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$3.3 million increase in employee compensation and benefits;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$0.7 million increase in travel-related expenses;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$0.4 million decrease in professional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sales and marketing expenses for the six months ended June 30, 2026, compared to the six months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$8.1 million increase in employee compensation and benefits;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$1.7 million increase in travel-related expenses;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$1.0 million decrease in professional fees;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$0.6 million decrease in digital marketing expense due to streamlined marketing efforts.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i/>
          <w:color w:val="000000"/>
          <w:sz w:val="20"/>
        </w:rPr>
        <w:t>Research and development</w:t>
      </w:r>
      <w:r>
        <w:rPr>
          <w:color w:val="000000"/>
        </w:rPr>
        <w:t> </w:t>
      </w:r>
    </w:p>
    <w:tbl>
      <w:tblPr>
        <w:tblW w:w="11753" w:type="dxa"/>
        <w:jc w:val="left"/>
        <w:tblInd w:w="0" w:type="dxa"/>
        <w:tblLayout w:type="fixed"/>
        <w:tblCellMar>
          <w:top w:w="28" w:type="dxa"/>
          <w:left w:w="28" w:type="dxa"/>
          <w:bottom w:w="28" w:type="dxa"/>
          <w:right w:w="28" w:type="dxa"/>
        </w:tblCellMar>
      </w:tblPr>
      <w:tblGrid>
        <w:gridCol w:w="468"/>
        <w:gridCol w:w="411"/>
        <w:gridCol w:w="412"/>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58"/>
        <w:gridCol w:w="158"/>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58"/>
        <w:gridCol w:w="158"/>
        <w:gridCol w:w="33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gross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38,434 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internally developed software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(6,661)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(14,187)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(12,691)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9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31,294 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61,854 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53,689 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revenues</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research and development expenses for the quarter ended June 30, 2026, compared to the quarter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$3.0 million increase in employee compensation and benefits;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$0.9 million increase in computer software expenses due to continued strategic investments in automation;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$0.5 million increase in capitalized software costs primarily due to the continued development of new solution offerings. Collectively, these increases resulted in a decrease in net expenses;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$0.5 million decrease in professional fees.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research and development expenses for the six months ended June 30, 2026, compared to the six months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$8.1 million increase in employee compensation and benefits;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$1.8 million increase in computer software expenses due to higher spend on cloud hosting services and continued strategic investments in automation;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$0.4 million increase in travel-related expenses;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$1.5 million increase in capitalized software costs primarily due to the continued development of new solution offerings. Collectively, these increases resulted in a decrease in net expenses;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$0.8 million decrease in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General and administrative </w:t>
      </w:r>
    </w:p>
    <w:tbl>
      <w:tblPr>
        <w:tblW w:w="11700" w:type="dxa"/>
        <w:jc w:val="left"/>
        <w:tblInd w:w="0" w:type="dxa"/>
        <w:tblLayout w:type="fixed"/>
        <w:tblCellMar>
          <w:top w:w="28" w:type="dxa"/>
          <w:left w:w="28" w:type="dxa"/>
          <w:bottom w:w="28" w:type="dxa"/>
          <w:right w:w="28" w:type="dxa"/>
        </w:tblCellMar>
      </w:tblPr>
      <w:tblGrid>
        <w:gridCol w:w="484"/>
        <w:gridCol w:w="425"/>
        <w:gridCol w:w="427"/>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09"/>
        <w:gridCol w:w="109"/>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158"/>
        <w:gridCol w:w="158"/>
        <w:gridCol w:w="331"/>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56,483 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Percentage of total revenues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general and administrative expenses for the quarter ended June 30, 2026, compared to the quarter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$2.4 million increase primarily due to an unfavorable change in foreign currency, net of the impact of foreign currency forward contracts;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$0.5 million decrease in employee compensation and benefits.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increase in general and administrative expenses for the six months ended June 30, 2026, compared to the six months ended June 30, 2025, was primarily due to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$4.3 million increase primarily due to an unfavorable change in foreign currency, net of the impact of foreign currency forward contracts;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$1.8 million increase in employee compensation and benefits;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$0.6 million increase in advisory and legal-related expenses;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$0.5 million increase in professional fees;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$0.4 million increase in travel-related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Restructuring costs</w:t>
      </w:r>
    </w:p>
    <w:tbl>
      <w:tblPr>
        <w:tblW w:w="10302" w:type="dxa"/>
        <w:jc w:val="left"/>
        <w:tblInd w:w="0" w:type="dxa"/>
        <w:tblLayout w:type="fixed"/>
        <w:tblCellMar>
          <w:top w:w="28" w:type="dxa"/>
          <w:left w:w="28" w:type="dxa"/>
          <w:bottom w:w="28" w:type="dxa"/>
          <w:right w:w="28" w:type="dxa"/>
        </w:tblCellMar>
      </w:tblPr>
      <w:tblGrid>
        <w:gridCol w:w="462"/>
        <w:gridCol w:w="406"/>
        <w:gridCol w:w="408"/>
        <w:gridCol w:w="211"/>
        <w:gridCol w:w="646"/>
        <w:gridCol w:w="109"/>
        <w:gridCol w:w="109"/>
        <w:gridCol w:w="109"/>
        <w:gridCol w:w="109"/>
        <w:gridCol w:w="211"/>
        <w:gridCol w:w="646"/>
        <w:gridCol w:w="109"/>
        <w:gridCol w:w="109"/>
        <w:gridCol w:w="109"/>
        <w:gridCol w:w="109"/>
        <w:gridCol w:w="211"/>
        <w:gridCol w:w="376"/>
        <w:gridCol w:w="109"/>
        <w:gridCol w:w="109"/>
        <w:gridCol w:w="109"/>
        <w:gridCol w:w="109"/>
        <w:gridCol w:w="109"/>
        <w:gridCol w:w="109"/>
        <w:gridCol w:w="286"/>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88"/>
        <w:gridCol w:w="188"/>
        <w:gridCol w:w="33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Restructuring costs were relatively flat during the quarter ended June 30, 2026, compared to the quarter ended June 30, 2025. The decrease in restructuring costs during the six months ended June 30, 2026, compared to the six months ended June 30, 2025, was primarily due to lower additional one-time termination benefits under the Fiscal 2025 restructuring programs.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Refer to “Note 9 - Restructuring Costs” in our unaudited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Interest income </w:t>
      </w:r>
    </w:p>
    <w:tbl>
      <w:tblPr>
        <w:tblW w:w="10445" w:type="dxa"/>
        <w:jc w:val="left"/>
        <w:tblInd w:w="0" w:type="dxa"/>
        <w:tblLayout w:type="fixed"/>
        <w:tblCellMar>
          <w:top w:w="28" w:type="dxa"/>
          <w:left w:w="28" w:type="dxa"/>
          <w:bottom w:w="28" w:type="dxa"/>
          <w:right w:w="28" w:type="dxa"/>
        </w:tblCellMar>
      </w:tblPr>
      <w:tblGrid>
        <w:gridCol w:w="283"/>
        <w:gridCol w:w="248"/>
        <w:gridCol w:w="250"/>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88"/>
        <w:gridCol w:w="188"/>
        <w:gridCol w:w="286"/>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331"/>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decrease in interest income during the quarter and six months ended June 30, 2026, compared to the quarter and six months ended June 30, 2025, was primarily due to decreased average balances on our investments and cash balances, and to a lesser extent, a decrease in average interest rates on our investments and cash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expense</w:t>
      </w:r>
    </w:p>
    <w:tbl>
      <w:tblPr>
        <w:tblW w:w="10205" w:type="dxa"/>
        <w:jc w:val="left"/>
        <w:tblInd w:w="0" w:type="dxa"/>
        <w:tblLayout w:type="fixed"/>
        <w:tblCellMar>
          <w:top w:w="28" w:type="dxa"/>
          <w:left w:w="28" w:type="dxa"/>
          <w:bottom w:w="28" w:type="dxa"/>
          <w:right w:w="28" w:type="dxa"/>
        </w:tblCellMar>
      </w:tblPr>
      <w:tblGrid>
        <w:gridCol w:w="428"/>
        <w:gridCol w:w="375"/>
        <w:gridCol w:w="378"/>
        <w:gridCol w:w="211"/>
        <w:gridCol w:w="646"/>
        <w:gridCol w:w="109"/>
        <w:gridCol w:w="109"/>
        <w:gridCol w:w="109"/>
        <w:gridCol w:w="109"/>
        <w:gridCol w:w="211"/>
        <w:gridCol w:w="646"/>
        <w:gridCol w:w="109"/>
        <w:gridCol w:w="109"/>
        <w:gridCol w:w="109"/>
        <w:gridCol w:w="109"/>
        <w:gridCol w:w="211"/>
        <w:gridCol w:w="508"/>
        <w:gridCol w:w="109"/>
        <w:gridCol w:w="109"/>
        <w:gridCol w:w="109"/>
        <w:gridCol w:w="109"/>
        <w:gridCol w:w="135"/>
        <w:gridCol w:w="136"/>
        <w:gridCol w:w="313"/>
        <w:gridCol w:w="109"/>
        <w:gridCol w:w="109"/>
        <w:gridCol w:w="109"/>
        <w:gridCol w:w="211"/>
        <w:gridCol w:w="646"/>
        <w:gridCol w:w="109"/>
        <w:gridCol w:w="109"/>
        <w:gridCol w:w="109"/>
        <w:gridCol w:w="109"/>
        <w:gridCol w:w="211"/>
        <w:gridCol w:w="646"/>
        <w:gridCol w:w="109"/>
        <w:gridCol w:w="109"/>
        <w:gridCol w:w="109"/>
        <w:gridCol w:w="109"/>
        <w:gridCol w:w="211"/>
        <w:gridCol w:w="508"/>
        <w:gridCol w:w="109"/>
        <w:gridCol w:w="109"/>
        <w:gridCol w:w="109"/>
        <w:gridCol w:w="109"/>
        <w:gridCol w:w="135"/>
        <w:gridCol w:w="136"/>
        <w:gridCol w:w="360"/>
      </w:tblGrid>
      <w:tr>
        <w:trPr/>
        <w:tc>
          <w:tcPr>
            <w:tcW w:w="4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Interest expense for the quarter and six months ended June 30, 2026, compared to the quarter and six months ended June 30, 2025, decreased slightly due to the repayment of our 2026 Notes in March 2026. Refer to “Note 8 - Convertible Senior Notes” in our unaudited condensed consolidated financial statements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Provision for income taxes </w:t>
      </w:r>
    </w:p>
    <w:tbl>
      <w:tblPr>
        <w:tblW w:w="10490" w:type="dxa"/>
        <w:jc w:val="left"/>
        <w:tblInd w:w="0" w:type="dxa"/>
        <w:tblLayout w:type="fixed"/>
        <w:tblCellMar>
          <w:top w:w="28" w:type="dxa"/>
          <w:left w:w="28" w:type="dxa"/>
          <w:bottom w:w="28" w:type="dxa"/>
          <w:right w:w="28" w:type="dxa"/>
        </w:tblCellMar>
      </w:tblPr>
      <w:tblGrid>
        <w:gridCol w:w="337"/>
        <w:gridCol w:w="296"/>
        <w:gridCol w:w="298"/>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188"/>
        <w:gridCol w:w="188"/>
        <w:gridCol w:w="286"/>
        <w:gridCol w:w="109"/>
        <w:gridCol w:w="109"/>
        <w:gridCol w:w="109"/>
        <w:gridCol w:w="211"/>
        <w:gridCol w:w="646"/>
        <w:gridCol w:w="109"/>
        <w:gridCol w:w="109"/>
        <w:gridCol w:w="109"/>
        <w:gridCol w:w="109"/>
        <w:gridCol w:w="211"/>
        <w:gridCol w:w="751"/>
        <w:gridCol w:w="109"/>
        <w:gridCol w:w="109"/>
        <w:gridCol w:w="109"/>
        <w:gridCol w:w="109"/>
        <w:gridCol w:w="211"/>
        <w:gridCol w:w="646"/>
        <w:gridCol w:w="109"/>
        <w:gridCol w:w="109"/>
        <w:gridCol w:w="109"/>
        <w:gridCol w:w="109"/>
        <w:gridCol w:w="188"/>
        <w:gridCol w:w="188"/>
        <w:gridCol w:w="331"/>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Quarter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percentages)</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are subject to federal and state income taxes in the U.S. and taxes in foreign jurisdictions. For the quarter ended June 30, 2026, our annual estimated effective tax rate differed from the U.S. federal statutory rate of 21% primarily as a result of non-deductible officer compensation, stock-based compensation shortfalls, foreign taxes, changes in our valuation allowance for income taxes, and a one-time tax benefit associated with the base erosion and anti-abuse tax.</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For the quarters ended June 30, 2026 and 2025, we recorded $3.5 million and $6.2 million in income tax expense, respectively. For the six months ended June 30, 2026 and 2025, we recorded $9.4 million and $10.8 million in income tax expense, respectively. The decrease in income tax expense for the quarter and six months ended June 30, 2026, compared to the quarter and six months ended June 30, 2025, resulted primarily from a one-time tax benefit associated with the base erosion and anti-abuse tax recognized in the current quarter, along with changes in the mix of profitable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our principal sources of liquidity were an aggregate of $527.8 million of cash and cash equivalents and marketable securities, which primarily consist of short-term, money market mutual funds, U.S. treasury securities, commercial paper, and corporate bonds.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believe our existing cash and cash equivalents, investments in marketable securities, and cash from operations will be sufficient to meet our working capital needs, capital expenditures, financing obligations, and share repurchases for at least the next 12 months.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Contractual Obligations and Commitments </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Convertible senior notes and capped calls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we had $675.0 million aggregate principal amount of 2029 Notes outstanding. We plan to, and believe we are able to, make all expected interest payments on the 2029 Notes in the next 12 months.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offering of the 2029 Notes, we entered into privately-negotiated capped call transactions (the “2029 Capped Calls”) with certain counterparties covering, subject to anti-dilution adjustments, approximately 9.9 million shares of our common stock, and are generally expected to offset the potential economic dilution of our common stock upon any conversions of the 2029 Notes up to the initial cap price. The 2029 Capped Calls have an initial strike price of $68.47 per share subject to certain adjustments, which corresponds to the initial conversion price of the 2029 Notes and an initial cap price of $92.17 per share, subject to certain adjustments. At June 30, 2026, all of the 2029 Capped Calls remained outstanding.</w:t>
      </w:r>
    </w:p>
    <w:p>
      <w:pPr>
        <w:pStyle w:val="TextBody"/>
        <w:bidi w:val="0"/>
        <w:spacing w:lineRule="auto" w:line="288" w:before="120" w:after="283"/>
        <w:ind w:left="0" w:right="0" w:firstLine="495"/>
        <w:jc w:val="left"/>
        <w:rPr>
          <w:rFonts w:ascii="Arial;sans-serif" w:hAnsi="Arial;sans-serif"/>
          <w:b w:val="false"/>
          <w:i/>
          <w:color w:val="000000"/>
          <w:sz w:val="20"/>
        </w:rPr>
      </w:pPr>
      <w:r>
        <w:rPr>
          <w:rFonts w:ascii="Arial;sans-serif" w:hAnsi="Arial;sans-serif"/>
          <w:b w:val="false"/>
          <w:i/>
          <w:color w:val="000000"/>
          <w:sz w:val="20"/>
        </w:rPr>
        <w:t>Lease Liabilities</w:t>
      </w:r>
    </w:p>
    <w:p>
      <w:pPr>
        <w:pStyle w:val="TextBody"/>
        <w:bidi w:val="0"/>
        <w:spacing w:lineRule="auto" w:line="288" w:before="120" w:after="283"/>
        <w:ind w:left="0" w:right="0" w:firstLine="495"/>
        <w:jc w:val="both"/>
        <w:rPr/>
      </w:pPr>
      <w:r>
        <w:rPr>
          <w:rFonts w:ascii="Arial;sans-serif" w:hAnsi="Arial;sans-serif"/>
          <w:b w:val="false"/>
          <w:color w:val="000000"/>
          <w:sz w:val="20"/>
        </w:rPr>
        <w:t>At June 30, 2026, we have obligations totaling $23.4 million related to existing property and equipment leases. As of June 30, 2026, we committed</w:t>
      </w:r>
      <w:r>
        <w:rPr>
          <w:color w:val="000000"/>
          <w:shd w:fill="FFFFFF" w:val="clear"/>
        </w:rPr>
        <w:t xml:space="preserve"> </w:t>
      </w:r>
      <w:r>
        <w:rPr>
          <w:rFonts w:ascii="Arial;sans-serif" w:hAnsi="Arial;sans-serif"/>
          <w:b w:val="false"/>
          <w:color w:val="000000"/>
          <w:sz w:val="20"/>
        </w:rPr>
        <w:t>$25.0 million for a lease signed but not yet commenced. This lease, which is expected to commence within the next twelve months, has a lease term of 15.5 years.</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Purchase obligations represent our most significant contractual obligations in the ordinary course of business for which we have not received the related goods or services, in whole or in part. At June 30, 2026, we had $147 million of contractual obligations, with approximately $52 million payable within 12 months, and have additional contractual obligations with other vendors that are individually immaterial and which we can readily settle given our liquidity position and capital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Unrecognized Tax Liabilities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while we have liabilities for unrecognized tax benefits of $22.7 million, due to their nature, there is a high degree of uncertainty regarding the timing of future cash outflows and other events that extinguish these liabilities.</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Letters of Credit</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Commitments under letters of credit at June 30, 2026 were scheduled to expire as follows (in thousands):</w:t>
      </w:r>
    </w:p>
    <w:tbl>
      <w:tblPr>
        <w:tblW w:w="7780" w:type="dxa"/>
        <w:jc w:val="left"/>
        <w:tblInd w:w="0" w:type="dxa"/>
        <w:tblLayout w:type="fixed"/>
        <w:tblCellMar>
          <w:top w:w="28" w:type="dxa"/>
          <w:left w:w="28" w:type="dxa"/>
          <w:bottom w:w="28" w:type="dxa"/>
          <w:right w:w="28" w:type="dxa"/>
        </w:tblCellMar>
      </w:tblPr>
      <w:tblGrid>
        <w:gridCol w:w="537"/>
        <w:gridCol w:w="471"/>
        <w:gridCol w:w="476"/>
        <w:gridCol w:w="211"/>
        <w:gridCol w:w="646"/>
        <w:gridCol w:w="109"/>
        <w:gridCol w:w="109"/>
        <w:gridCol w:w="109"/>
        <w:gridCol w:w="109"/>
        <w:gridCol w:w="371"/>
        <w:gridCol w:w="847"/>
        <w:gridCol w:w="193"/>
        <w:gridCol w:w="109"/>
        <w:gridCol w:w="109"/>
        <w:gridCol w:w="109"/>
        <w:gridCol w:w="217"/>
        <w:gridCol w:w="496"/>
        <w:gridCol w:w="112"/>
        <w:gridCol w:w="109"/>
        <w:gridCol w:w="109"/>
        <w:gridCol w:w="109"/>
        <w:gridCol w:w="240"/>
        <w:gridCol w:w="461"/>
        <w:gridCol w:w="124"/>
        <w:gridCol w:w="109"/>
        <w:gridCol w:w="109"/>
        <w:gridCol w:w="109"/>
        <w:gridCol w:w="262"/>
        <w:gridCol w:w="506"/>
        <w:gridCol w:w="193"/>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r>
      <w:tr>
        <w:trPr/>
        <w:tc>
          <w:tcPr>
            <w:tcW w:w="148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Letters of credit are maintained pursuant to certain of our lease arrangements. The letters of credit remain in effect at varying levels through the terms of the related agreements.</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Repurchase Program</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Under our stock repurchase program, which authorizes the periodic purchase of our common stock, the Board of Directors (the "Board") approved two increases to the stock repurchase program: an additional $100 million of common stock on March 13, 2026, and an additional $100 million of common stock on July 31, 2026. These authorizations increased the total authorized amount under the program from $400 million to $500 million, and subsequently to $600 million.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Repurchases may be made from time to time through open market repurchases or through privately-negotiated transactions subject to market conditions, applicable legal requirements and other relevant factors. Open market repurchases may be structured to occur in accordance with the requirements of Rule 10b-18 of the Securities Exchange Act of 1934, as amended. We may also, from time to time, enter into Rule 10b5-1 plans to facilitate repurchases of its shares under this authorization. The repurchase program does not obligate us to acquire any particular amount of our common stock, and it may be suspended at any time in our discretion. The timing and actual number of shares repurchased may depend on a variety of factors, including price, general business and market conditions, and alternative investment opportunities.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repurchased and retired approximately 1.2 million shares of common stock for $37.7 million during the quarter ended June 30, 2026, and 2.4 million shares for $84.8 million during the six months ended June 30, 2026. At June 30, 2026, $179.7 million remained available for repurchases under this program. </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Future Capital Requirements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future capital requirements will depend on many factors, including our growth rate, strategic relationships and international operations, the timing and extent of spending to support research and development efforts, future merger and acquisition activities, repurchase or refinancing of our existing indebtedness, repurchases of our common stock, and the continuing market acceptance of our solutions. From time to time, we have required, and may in the future require or opportunistically raise, additional equity or debt financing. Sales of additional equity or equity-linked securities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would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sets forth a summary of our cash flows for the periods indicated:</w:t>
      </w:r>
    </w:p>
    <w:tbl>
      <w:tblPr>
        <w:tblW w:w="7298" w:type="dxa"/>
        <w:jc w:val="left"/>
        <w:tblInd w:w="0" w:type="dxa"/>
        <w:tblLayout w:type="fixed"/>
        <w:tblCellMar>
          <w:top w:w="28" w:type="dxa"/>
          <w:left w:w="28" w:type="dxa"/>
          <w:bottom w:w="28" w:type="dxa"/>
          <w:right w:w="28" w:type="dxa"/>
        </w:tblCellMar>
      </w:tblPr>
      <w:tblGrid>
        <w:gridCol w:w="1614"/>
        <w:gridCol w:w="1415"/>
        <w:gridCol w:w="1425"/>
        <w:gridCol w:w="211"/>
        <w:gridCol w:w="916"/>
        <w:gridCol w:w="109"/>
        <w:gridCol w:w="109"/>
        <w:gridCol w:w="109"/>
        <w:gridCol w:w="109"/>
        <w:gridCol w:w="211"/>
        <w:gridCol w:w="91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Net Cash Provided By Operating Activities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cash flows provided by operating activities are primarily driven by net income, and cash generated from collections in accordance with our subscription-based revenue model wherein billings occur in advance of revenue recognition, adjusted for significant non-cash activity. Non-cash activity primarily includes depreciation and amortization, stock-based compensation, non-cash lease expense, amortization of debt issuance costs, accretion of premiums on marketable securities, and deferred taxes.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2026, cash provided by operating activities was $91.3 million, resulting from net non-cash expenses of approximately $78.6 million and net income of $13.2 million, partially offset by net cash flows used as a result of changes in operating assets and liabilities of $0.5 million. The $0.5 million of net cash flows used as a result of changes in our operating assets and liabilities reflected primarily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$16.8 million decrease in accrued expenses and other current liabilities primarily due to payments for annual bonuses, commissions, our Fiscal 2025 restructuring programs, and taxes, partially offset by the timing of invoices for professional and third-party services;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$7.0 million decrease in accounts payable due to timing of payments;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$4.3 million decrease in deferred revenue primarily due to seasonality in the sales cycle, which led to lower billings and higher revenue recognition;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$3.6 million decrease in operating lease liabilities.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These decreases in the changes to our operating assets and liabilities were partially offset by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$26.8 million decrease in accounts receivable primarily due to increased collections and lower billings;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$4.7 million decrease in other assets primarily due to a net decrease in prepaid commissions.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2025, cash provided by operating activities was $79.1 million, resulting from net non-cash expenses of approximately $63.6 million, net income of $12.7 million, and net cash flows provided as a result of changes in operating assets and liabilities of $2.8 million. The $2.8 million of net cash flows provided as a result of changes in our operating assets and liabilities reflected primarily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$5.5 million decrease in accounts receivable primarily due to increased collections;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$5.4 million increase in other long-term liabilities;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$4.8 million net decrease in prepaid expenses and other current assets primarily due to amortization of prepaid balances and timing of tax payments, partially offset by prepaid insurance and cloud-based data storage costs to support our suite of solutions;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$2.5 million increase in accounts payable due to timing of payments;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$2.2 million increase in deferred revenue primarily due to customer growth and timing of billings for subscription and support.</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These changes in our operating assets and liabilities were partially offset by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$13.0 million decrease in accrued expenses and other current liabilities primarily due to annual bonus payments;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$3.2 million decrease in operating lease liabilities;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$1.4 million increase in other assets due to a net increase in prepaid commissions and cloud computing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Net Cash Provided By (Used In) Investing Activities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investing activities consist primarily of investments in, and maturities and sales of marketable securities, capitalized software development costs, and capital expenditures for property and equipment.</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2026, cash provided by investing activities was $88.2 million primarily as a result of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$107.3 million of proceeds from maturities and sales of marketable securities, net of purchases; partially offset by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$15.0 million for capitalized software development costs;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$4.0 million in purchases of property and equipment.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2025, cash used in investing activities was $414.0 million primarily as a result of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$392.9 million of purchases of marketable securities, net of proceeds from maturities;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$14.2 million for capitalized software development costs; and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$6.9 million in purchases of property and equipment.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Net Cash Used In Financing Activities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2026, cash used in financing activities was $326.4 million primarily as a result of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$230.2 million for the repayment of the 2026 Notes with cash on hand;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$84.5 million for repurchases of common stock;</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$13.1 million for acquisitions of common stock for tax withholding obligations;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$3.3 million for the purchase of additional shares of common stock in BlackLine K.K., resulting in a decrease in the redeemable non-controlling interest;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$4.1 million of proceeds from the employee stock purchase plan.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For the six months ended June 30, 2025, cash used in financing activities was $92.2 million primarily as a result of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$88.8 million of repurchases of common stock;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$13.0 million for acquisitions of common stock for tax withholding obligations; partially offset by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$5.0 million of proceeds from exercises of stock options;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$4.6 million of proceeds from the employee stock purchase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Critical Accounting Estimates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consolidated financial statements are prepared in accordance with GAAP, which requires us to make estimates and assumptions about future events that affect the amounts reported in our unaudited condensed consolidated financial statements and the accompanying notes included elsewhere in this Quarterly Report on Form 10-Q. During the quarter ended June 30, 2026, there were no significant changes to our critical estimates as detailed in Item 7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See Note 2 - “Basis of Presentation, Significant Accounting Policies, and Recently-Issued Accounting Pronouncements” contained in the “Notes to Unaudited Condensed Consolidated Financial Statements” in Part I, Item 1 of this Quarterly Report on Form 10-Q for a full description of the recent accounting pronouncements, and our expectation of their impact, if any,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operations both within the U.S.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customers and limit credit exposure by collecting in advance and setting credit limits as we deem appropriate. In addition, our investment strategy is focused on financial instruments that are highly liquid and readily convertible into cash for use in our operations. We use foreign currency forward contracts to mitigate exposure to foreign currency exchange rate fluctuations associated with certain foreign currency-denominated monetary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are exposed to market risk related to changes in interest rates.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May 2024, we issued $675.0 million aggregate principal amount of the 2029 Notes. The 2029 Notes have a fixed annual interest rate of 1.00%; therefore, we do not have economic interest rate exposure with respect to the 2029 Notes. However, the fair value of the 2029 Notes is exposed to interest rate risk. Generally, the fair market value of the Notes will increase as interest rates fall and decrease as interest rates rise. In addition, the fair value of the Notes is affected by our common stock price. The fair value of the Notes will generally increase as our common stock price increases and will generally decrease as our common stock price declines. Additionally, we carry the Notes at face value less unamortized issuance costs on our consolidated balance sheet, and we present the fair value for required disclosure purposes only.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had cash and cash equivalents and marketable securities of $527.8 million at June 30, 2026. Our cash equivalents and marketable securities consist of highly liquid money market mutual funds, U.S. treasury securities, commercial paper, and corporate bonds.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carrying amount of our cash equivalents and marketable securities reasonably approximates fair value due to the highly liquid nature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 We cannot be assured that we will not experience losses on these deposits.</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While we primarily transact with customers in the U.S. Dollar, we are exposed to foreign currency exchange rate risk arising from our international operations denominated in the Australian Dollar, British Pound, Canadian Dollar, Euro, Indian Rupee, Japanese Yen, Mexican Peso, Romanian Leu, and Singapore Dollar. We expect to continue to expand our international operations and customer sales. Our international subsidiaries maintain certain asset and liability balances that are denominated in currencies other than the functional currencies of these subsidiaries, which is the U.S. Dollar for all international subsidiaries, with the exception of our Japanese subsidiary, for which the Japanese Yen is the functional currency. Changes in the value of foreign currencies relative to the U.S. Dollar can result in fluctuations in our total assets, liabilities, revenue, operating expenses, and cash flows, and may increase the costs of international expansion. The effect of a hypothetical 10% increase or decrease in the value of the U.S. Dollar relative to foreign-denominated currencies applicable to our business would have reduced by approximately $8.0 million or increased by approximately $8.0 million, respectively, our cash balances at June 30, 2026.</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In 2025, we initiated a program to hedge exposures to cash fluctuations in the British Pound and the Euro using foreign currency forward contracts. The forward contracts are not designated as hedging instruments under ASC 815, </w:t>
      </w:r>
      <w:r>
        <w:rPr>
          <w:rFonts w:ascii="Arial;sans-serif" w:hAnsi="Arial;sans-serif"/>
          <w:b w:val="false"/>
          <w:i/>
          <w:color w:val="000000"/>
          <w:sz w:val="20"/>
        </w:rPr>
        <w:t>Derivatives and Hedging</w:t>
      </w:r>
      <w:r>
        <w:rPr>
          <w:rFonts w:ascii="Arial;sans-serif" w:hAnsi="Arial;sans-serif"/>
          <w:b w:val="false"/>
          <w:color w:val="000000"/>
          <w:sz w:val="20"/>
        </w:rPr>
        <w:t xml:space="preserve">. We do not enter into derivative financial contracts for speculative or trading purposes.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hedging program aims to reduce, but does not entirely eliminate, the impact of currency exchange rate movements. We consider the counterparty to the foreign currency forward contracts to be a creditworthy multinational commercial bank, and therefore, the risk of counterparty non-performance is not material. While we strive to mitigate foreign currency exchange rate risks, there is no assurance that our hedging activities will fully protect us against the risks associated with foreign currency fluctuations. We believe a substantial portion of any fluctuation would be offset by monetary assets maintained in local currency. </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Inflationary pressures may affect our customers’ purchasing power and budget allocations, particularly for discretionary technology spending. If our customers experience increased costs in other areas of their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they may delay or reduce their investment in software solutions, which could impact our sales cycle and overall demand. Furthermore, if our own costs were to become subject to significant inflationary pressures, we may not be able to fully offset such higher costs through price increases, and this could also adversely affect our financial condition or results of operations. While we have not experienced a material inflationary impact on customer engagement or our own operations, we continue to monitor macroeconomic conditions closely.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Disclosure controls and procedures, as defined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June 30, 2026, the last day of the period covered by this Quarterly Report. Based on this evaluation, our principal executive officer and principal financial officer have concluded that, at June 30, 2026, our disclosure controls and procedures were effective at a reasonable assurance level.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Limitations on the Effectiveness of Controls and Procedures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is also based, in part, upon certain assumptions about the likelihood of future events, and there can be no assurance that any design will succeed in achieving its stated goals under all potential future conditions.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identified in connection with the evaluation required by Rules 13a-15(d) and 15d-15(d) under the Exchange Act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54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pPr>
      <w:r>
        <w:rPr>
          <w:rFonts w:ascii="Arial;sans-serif" w:hAnsi="Arial;sans-serif"/>
          <w:b/>
          <w:color w:val="000000"/>
          <w:sz w:val="20"/>
        </w:rPr>
        <w:t xml:space="preserve">Item 1. </w:t>
      </w:r>
      <w:r>
        <w:rPr>
          <w:rFonts w:ascii="Arial;sans-serif" w:hAnsi="Arial;sans-serif"/>
          <w:b/>
          <w:i/>
          <w:color w:val="000000"/>
          <w:sz w:val="20"/>
        </w:rPr>
        <w:t>Legal Proceedings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From time to time, we may be subject to legal proceedings, including claims, litigation, investigations, and inquiries arising in the ordinary course of business. In addition, from time to time, third parties may assert intellectual property infringement claims against us in the form of letters and other forms of communication. As of the date of this Quarterly Report on Form 10-Q for the quarter ended June 30, 2026,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pPr>
      <w:r>
        <w:rPr>
          <w:rFonts w:ascii="Arial;sans-serif" w:hAnsi="Arial;sans-serif"/>
          <w:b/>
          <w:color w:val="000000"/>
          <w:sz w:val="20"/>
        </w:rPr>
        <w:t xml:space="preserve">Item 1A. </w:t>
      </w:r>
      <w:r>
        <w:rPr>
          <w:rFonts w:ascii="Arial;sans-serif" w:hAnsi="Arial;sans-serif"/>
          <w:b/>
          <w:i/>
          <w:color w:val="000000"/>
          <w:sz w:val="20"/>
        </w:rPr>
        <w:t>Risk Factors</w:t>
      </w:r>
    </w:p>
    <w:p>
      <w:pPr>
        <w:pStyle w:val="TextBody"/>
        <w:bidi w:val="0"/>
        <w:spacing w:lineRule="auto" w:line="288" w:before="120" w:after="283"/>
        <w:ind w:left="0" w:right="0" w:firstLine="495"/>
        <w:jc w:val="both"/>
        <w:rPr>
          <w:rFonts w:ascii="Arial;sans-serif" w:hAnsi="Arial;sans-serif"/>
          <w:b w:val="false"/>
          <w:i/>
          <w:color w:val="000000"/>
          <w:sz w:val="20"/>
        </w:rPr>
      </w:pPr>
      <w:r>
        <w:rPr>
          <w:rFonts w:ascii="Arial;sans-serif" w:hAnsi="Arial;sans-serif"/>
          <w:b w:val="false"/>
          <w:i/>
          <w:color w:val="000000"/>
          <w:sz w:val="20"/>
        </w:rPr>
        <w:t xml:space="preserve">Investing in our common stock involves a high degree of risk. You should carefully consider the risks and uncertainties described below, together with all of the other information in this Quarterly Report on Form 10-Q, including “Management’s Discussion and Analysis of Financial Condition and Results of Operations” and our unaudited condensed consolidated financial statements and related notes, before making a decision to invest in our common stock. The risks and uncertainties described below are not the only ones we face. Additional risks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i/>
          <w:color w:val="000000"/>
          <w:sz w:val="20"/>
        </w:rPr>
      </w:pPr>
      <w:r>
        <w:rPr>
          <w:rFonts w:ascii="Arial;sans-serif" w:hAnsi="Arial;sans-serif"/>
          <w:b w:val="false"/>
          <w:i/>
          <w:color w:val="000000"/>
          <w:sz w:val="20"/>
        </w:rPr>
        <w:t>affected. In that event, the market price of our common stock could decline, and you could lose part or all of your investment.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Summary Risk Factors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business is subject to numerous risks and uncertainties that you should consider before investing in BlackLine, as fully described below. The principal factors and uncertainties that make investing in BlackLine risky include, among others: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If we are unable to attract new customers and expand sales to existing customers, our growth could be slower than we expect and our business may be harmed.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Our business and growth depend substantially on customers renewing their subscription agreements with us, and any decline in our customer renewals could adversely affect our operating results.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Economic uncertainty and other unfavorable conditions in our industry or the global economy could limit our ability to grow our business and negatively affect our operating results.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If we fail to manage growth in our operations and organizational change effectively, we may be unable to execute our business plan.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If we are not able to provide successful enhancements, new features or modifications to our software solutions, our business could be adversely affected.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We derive substantially all of our revenues from a limited number of software solutions, and our growth is dependent on their success.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If our relationships with technology vendors and business process outsourcers are not successful, our business and growth may be harmed.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If our security controls are breached or if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We depend and rely upon Software as a Service (“SaaS”) applications from third parties to operate our business and provide our software solutions, and interruptions, outages, or performance problems with these technologies may adversely affect our business and operating results.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Our increased focus on the development and use of agentic, generative, and other artificial intelligence and machine learning technologies (“AI/ML”) in our platform and our business, or any potential failure to effectively implement, use, and market these technologies, may result in reputational harm or liability, or could otherwise adversely affect our business.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Interruptions or performance problems associated with our software solutions, platform and technology may adversely affect our business and operating results.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If our software contains serious errors or defects, we may lose revenue and market acceptance and may incur costs to defend or settle product liability claims.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market in which we participate is intensely competitive, and if we do not compete effectively, our business and operating results could be harmed.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Our quarterly results may fluctuate, and if we fail to meet the expectations of analysts or investors, our stock price and the value of your investment could decline substantially.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We may not be able to sustain or increase profitability in the future.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market price of our common stock may be volatile, and you could lose all or part of your investment.</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Business and Industry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are unable to attract new customers and expand sales to existing customers, our growth could be slower than we expect and our business may be harmed.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growth depends in part upon increasing our customer base, which will depend, in large part, upon the effectiveness of our sales and marketing efforts, both domestically and internationally. We may have difficulty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attracting potential customers that rely on widely-available and inexpensive software tools, or that have already invested substantial personnel and financial resources to integrate internally-developed or other software solutions into their businesses, as such organizations may be reluctant or unwilling to invest in a new product. If we fail to attract new customers or maintain and expand those customer relationships, our revenues will grow more slowly than expected and our business will be harmed.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As we move to a platform model, our growth depends upon our ability to sell additional products and increase usage from our existing customers. It is important for the growth of our business that our existing customers make additional significant purchases of our products through our platform. Although our revenue has continued to grow, the rate of growth has slowed in recent periods, and we have experienced a decline in the number of our customers and users. The decline in revenue growth rate is attributable, in part, to strategic business decisions made in response to the maturation of the market for our financial close products. Specifically, our refined commercial focus on enterprise and large mid-market customers has resulted in an increased rate of churn among smaller customers. In addition, our shift to a platform pricing model that is not based on the number of users may increase our user attrition rate as customers migrate to the platform pricing model. In addition, our growth rates may be impacted by changing customer preferences, such as customer preference for solutions that unify upstream and downstream activities versus less broadly-focused solutions, increased competition across many of our product offerings, customer insourcing of functionality, and diversion of IT budgets toward other technologies and priorities. Our sales and marketing efforts have been and may continue to be impacted by geopolitical developments and other events beyond our control, including economic volatility and macroeconomic trends. Such events have resulted in increased price sensitivity on the part of certain current and prospective customers, and could negatively impact sales for certain of our premium-priced offerings.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cannot provide assurance that our strategies will be successful or that we will reverse these trends and we may not be able to increase our customers or revenue, and despite our efforts, our business may grow more slowly than we expect, may not grow at all, or may decline. Our business also depends on retaining existing customers. If we do not retain customers, including due to the acquisition of our customers by other companies, or our customers downgrade or fail to renew their agreements with us, or move to our competitors, or if our customers do not purchase additional products, our revenues may grow more slowly than expected, may not grow at all or may decline. Additionally, increasing incremental sales to our current customer base may require additional sales efforts that are targeted at senior management of such customers, which efforts are often associated with complex customer requirements and additional time to evaluate and test our products, and can lead to long and unpredictable sales cycles. There can be no assurance that our efforts will result in increased sales to existing customers or additional revenues. Failure to grow our business or to grow more slowly than we have anticipated could result in negative perceptions in the market and declines in our stock price.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business and growth depend substantially on customers renewing their subscription agreements with us, and any decline in our customer renewals could adversely affect our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initial subscription period for the majority of our customers is one to three years. In order for us to continue to increase our revenue, it is important that our existing customers renew their subscription agreements when the contract term expires. Although our agreements typically include automatic renewal language, our customers may cancel their agreements at the expiration of the term. In addition, our customers may renew for fewer users, renew for shorter contract lengths or renew for fewer products or solutions. Renewal rates may decline or fluctuate as a result of a variety of factors, including satisfaction or dissatisfaction with our software or professional services, our pricing or pricing model or changes in pricing models, the pricing or capabilities of products or services offered by our competitors, strategic shifts in our focus on particular markets and customers, the effects of economic conditions, or reductions in our customers’ budgets and spending levels. For example, macroeconomic trends and changing customer preferences of our customers have impacted and may continue to impact our renewal rate. Any prolonged downturn in the global economy in general, or in particular sectors, such as technology or financial services, would adversely affect the industries in which our customers operate, which could adversely affect our customers’ ability or willingness to renew their subscription agreements or could cause our customers to downgrade the terms of their subscription agreements. Even in the absence of unfavorable macroeconomic trends, changes in the size and mix of IT spend, such as favoring newer technologies like AI/ML at the expense of digital transformation, could negatively impact customers’ ability or willingness to renew their subscription agreements or could cause our customers to downgrade the terms of their subscription agreements.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Further,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As a result, we may in the future be required to change our pricing model, reduce our prices or accept other unfavorable contract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any of which could affect our revenue. For example, we have shifted to a platform pricing model, which is no longer tied to the number of users and is instead driven by the size and complexity of the customer. We are uncertain as to how this new model will be received by our customers and certain customers may view this model unfavorably and decline to renew their agreements. If our customers do not renew their agreements with us or renew on terms less favorable to us, our revenues may decline.</w:t>
      </w:r>
    </w:p>
    <w:p>
      <w:pPr>
        <w:pStyle w:val="TextBody"/>
        <w:bidi w:val="0"/>
        <w:spacing w:lineRule="auto" w:line="288" w:before="240" w:after="283"/>
        <w:jc w:val="both"/>
        <w:rPr/>
      </w:pPr>
      <w:r>
        <w:rPr>
          <w:rFonts w:ascii="Arial;sans-serif" w:hAnsi="Arial;sans-serif"/>
          <w:b/>
          <w:i/>
          <w:color w:val="000000"/>
          <w:sz w:val="20"/>
        </w:rPr>
        <w:t>Economic uncertainty and other unfavorable conditions in our industry or the glob</w:t>
      </w:r>
      <w:r>
        <w:rPr>
          <w:rFonts w:ascii="Arial;sans-serif" w:hAnsi="Arial;sans-serif"/>
          <w:b w:val="false"/>
          <w:color w:val="000000"/>
          <w:sz w:val="20"/>
        </w:rPr>
        <w:t>a</w:t>
      </w:r>
      <w:r>
        <w:rPr>
          <w:rFonts w:ascii="Arial;sans-serif" w:hAnsi="Arial;sans-serif"/>
          <w:b/>
          <w:i/>
          <w:color w:val="000000"/>
          <w:sz w:val="20"/>
        </w:rPr>
        <w:t>l economy could limit our ability to grow our business and negatively affect our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operating results may vary based on the impact of changes in our industry or the global economy on us or our customers. The revenue growth and potential profitability of our business depend on demand for business software applications and services generally, and for accounting and finance systems in particular. We have been operating in a period of economic uncertainty and cannot predict the timing, strength, or duration of any economic recovery. The global economy has been, and may in the future be adversely affected by concerns of inflation and fluctuating interest rates, the imposition of tariffs and non-tariff trade barriers, as well as reciprocal actions, adverse business conditions and liquidity concerns, along with macroeconomic volatility and uncertainty, including increased energy and commodity price volatility. Such general macroeconomic conditions have contributed to a more restrained and selective IT spending environment that could adversely affect demand for our products and make it difficult to accurately forecast and plan our future business activities. If we are unable to maintain pipeline growth or if our win rates decline, our ability to grow our revenue and profitability could be adversely affected. A failure to continue our shift toward platform-priced solutions could also negatively impact our future financial performance. In addition, professional services revenue may decrease as new implementation projects are delayed. To the extent that there are unfavorable conditions in the national and global economy, our business could be negatively impacted. Current and potential customers may reduce their budgets for accounting, finance, and technology, or they may postpone or decide not to purchase or renew subscriptions to our products, which they might view as discretionary. This would limit our ability to grow and negatively affect our operating results. Additionally, corporate cost-cutting and tighter budgets could reduce the rate of spending on accounting, finance, and information technology. This could affect our customers’ ability or willingness to purchase our cloud platform, delay purchasing decisions, reduce the value or duration of their subscription contracts, or increase attrition rates, all of which would adversely affect our operating results. The occurrence of a natural disaster, global public health crisis, geopolitical uncertainty or war has caused, and in the future may cause, customers to request concessions, including extended payment terms, free modules or better pricing. Uncertain economic conditions may also adversely affect third parties with which we have entered into relationships and upon which we depend in order to grow our business, such as technology vendors and public cloud providers. Prolonged economic uncertainties relating to macroeconomic trends could limit our ability to grow our business and negatively affect our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our customers may be affected by changes in trade policies, treaties, government regulations and tariffs, as well as geopolitical volatility. For example, the current U.S. administration has proposed or enacted significant new tariffs on imports from numerous trading partners. The ongoing uncertainty in this tariff environment, along with potential retaliatory measures by our trading partners, may adversely impact trade relations, increase costs, and reduce our customers’ purchasing power. These could also increase pressure on supply chains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fail to manage growth in our operations and organizational change effectively, we may be unable to execute our business plan.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Growth in our customer base and operations has placed, and may continue to place, a significant strain on our managerial, administrative, operational, financial and other resources, particularly as we focus on cost discipline and efficiency. We anticipate that additional investments in our infrastructure will be necessary to support the growth of our operations both domestically and internationally. These additional investments will increase our costs, with no assurance that our business or revenue will grow sufficiently to cover these additional costs. Labor shortages and increased employee mobility may make it more difficult to hire and retain certain types of employees. For example, labor shortages have, at times, created greater competition for engineering talent, and we have had to expend additional resources to address the retention of such employees. Additionally, our workforce continues to be partially remote, and we expect that it will remain partially remote for the near term. We may experience difficulties onboarding new employees remotely, and maintaining a global organization and managing a geographically dispersed workforce requires substantial management effort, the allocation of valuable management resources, and significant additional investment in our infrastructure. We may be unable to improve our operational, financial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 controls and our reporting procedures to effectively manage our operations and growth, which could negatively affect our results of operations and overall business. In addition, we may be unable to manage our expenses effectively in the future, which may negatively impact our gross margins or operating expenses and cause us to realign resources in order to improve operational efficiency, which may include a slowdown in hiring or reduction in force, such as workforce reductions we have undertaken from time to time. Moreover, if we fail to manage our anticipated growth or any realignment of resources, such as a restructuring or reduction in force, in a manner that preserves the key aspects of our corporate culture, employee morale, productivity and the quality of our software solutions may suffer, which could negatively affect our brand and reputation and harm our ability to retain and attract customers.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are not able to provide successful enhancements, new features or modifications to our software solutions, our business could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If we are unable to provide enhancements and new features for our existing solutions or new solutions that achieve market acceptance or that keep pace with rapid technological developments, our business could be adversely affected. For example, advancements in technology and the introduction of products by our competitors or others incorporating new technologies, such as AI/ML, the emergence of new industry standards, or changes in customer requirements, may alter the market for our products, and businesses that are slow to adopt or fail to adopt these new technologies may face a competitive disadvantage.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need to continuously modify and enhance our solutions to keep pace with changes in internet-related hardware, AI/ML advancements, and other software, communication, browser and database technologies. Customers may increasingly expect greater control over their data, including specific requirements for data residency and cloud sovereignty, and limitations on data sharing, portability, and cross-border transfers. If we fail to meet these evolving expectations, which may be more restrictive than current legal obligations, customers may be unwilling to use our services. Adapting our platform to meet these demands could require significant investment, limit the functionality of our services, and impact our ability to operate and compete in certain markets. Our platform is also designed to integrate with existing ERP systems such as Microsoft Dynamics, Oracle, and SAP,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derive substantially all of our revenues from a limited number of software solutions, and our growth is dependent on their success.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currently derive, and expect to continue to derive, a majority of our revenue from our Financial Close &amp; Consolidation solutions. As a result, the continued growth in market demand for these solutions is critical to our continued success. We cannot be certain that any new software solutions or products we introduce will generate significant revenues. Accordingly, our business and financial results have been and will be substantially dependent on a limited number of solutions.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security controls are breached or if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Use of our platform involves the storage, transmission and processing of our customers’ proprietary data, including highly confidential financial information regarding their business and personal or identifying information of their customers or employees. Additionally, we maintain our own proprietary, confidential and otherwise sensitive information. Our platform is at risk for security breaches and incidents as a result of third-party action, employee, vendor or contractor error or malfeasance, cyberattacks (including from nation states and affiliated actors) and other forms of hacking, denial of service attacks, malfeasance, ransomware, viruses and other malicious software, or other factors. The risk of a cybersecurity incident occurring has increased as more companies and individuals work remotely, potentially exposing us to new, complex threats and increasing the potential for security breaches or incidents relating to phishing and other social engineering attacks, use of personal devices, and employee, vendor,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or service provider error or malfeasance. Additionally, geopolitical events and an uncertain political climate, including war and political and social upheaval in certain regions of the world, including the conflict in Iran and surrounding nations, may create heightened risks of cybersecurity incidents for us and our service providers, and we and they may be unable to defend against any such attacks. If any unauthorized or inadvertent access to, or a security breach or incident impacting our platform or other systems or networks used in our business occurs, such event could result in significant interruptions or other disruptions to our software solutions, platform and technology, the loss, alteration, or unavailability of data, unauthorized access to, or use, disclosure, or unauthorized processing of data, including proprietary, personal, or confidential data, and any such event, or the belief or perception that it has occurred, could result in a loss of business, severe reputational damage adversely affecting customer or investor confidence, regulatory investigations and orders, litigation, indemnity obligations, and damages for contract breach or penalties for violation of applicable laws or regulations. Additionally, service providers who store or otherwise process data on our behalf, including third-party and public-cloud infrastructure, also face security risks. As we rely more on third-party and public-cloud infrastructure, we are increasingly dependent on third-party security measures to protect against unauthorized access, cyberattacks, and the mishandling of customer, employee and other confidential data, and we may be required to expend significant time and resources to address any incidents related to the failure of those third-party security measures to prevent, detect, remediate, and otherwise address security breaches or incidents. Our ability to monitor our third-party service providers' security measures is limited, and in any event, attackers may be able to circumvent our third-party service providers' security measures. There have been and may continue to be significant attacks on certain third-party service providers, and we cannot guarantee that our or our third-party service providers' systems and networks have not been compromised, or that they do not contain exploitable defects or bugs that could result in a compromise of or disruption to our systems and networks or the systems and networks of third parties that support us and our platform. We have experienced incidents targeting our internal systems, and we may also in the future suffer breaches of, or incidents impacting, our internal systems. Security breaches or incidents impacting our platform or our internal systems could create significant interruptions or other disruptions of our software solutions, platform and technology, and may result in significant costs incurred in order to remediate or otherwise respond to a breach or incident, which may include liability for stolen assets or information, repair of system damage, incentives offered to customers or other business partners in an effort to maintain business relationships after a breach, and other costs, expenses and liabilities. We may be required to or find it appropriate to expend substantial capital and other resources to alleviate problems caused by any actual or perceived security breaches or incidents. Further, while we have expended, and will continue to expend, significant resources to enhance and improve our cybersecurity posture and capabilities, these efforts, and any other efforts we may make, may not prevent or significantly mitigate risk in the way we expect, and may require us to incur substantial costs and may require significant resources.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incorporated and may continue to incorporate AI/ML solutions and features, such as agentic AI, into our platform and otherwise within our business, which may create additional cybersecurity risks or increase cybersecurity risks, including risks of security breaches and incidents. Further, AI/ML technologies, including agentic AI, may be used to identify vulnerabilities and build exploitations for certain cybersecurity attacks, and may increase their frequency and intensity, resulting in heightened risks of security breaches and incidents.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Additionally, many jurisdictions have enacted or may enact laws and regulations requiring companies to notify individuals of data security breaches involving certain types of personal data or critical infrastructure. These or other disclosures regarding a security breach or incident could result in negative publicity to us, which may cause our customers to lose confidence in the effectiveness of our data security measures, which could impact our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incur significant expenses in our efforts to minimize the risks presented by security breaches and incidents, including deploying additional personnel and protection technologies, training employees annually, engaging in phishing simulation exercises, and engaging third-party experts and contractors. We continually increase our investments in cybersecurity to counter emerging risks and threats and to address certain other identified matters, and we anticipate being required to make substantial additional investments in our cybersecurity measures. If a publicized security breach or incident occurs with respect to another SaaS provider or other technology company, our current and potential customers may lose trust in the security of our platform or in the SaaS business model generally, which could adversely impact our ability to retain existing customers or attract new ones. Such a breach or incident, or series of breaches or incidents, could also result in regulatory or contractual security requirements that could make compliance challenging. Even in the absence of any actual or perceived security breach or incident, customer concerns about privacy, security, or data protection may deter them from using our platform for activities that involve personal or other sensitive information.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Because the techniques used to obtain unauthorized access or to sabotage systems change frequently, and often are not identified until they are launched against a target, we may be unable to anticipate these techniques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to implement adequate preventative measures. We may also experience security breaches and incidents that may remain undetected for an extended period of time. Periodically, we experience phishing attacks targeting our employees, web application and infrastructure attacks, and other information technology incidents. These threats continue to evolve in sophistication and volume and are difficult to detect and predict due to advances in electronic warfare techniques, advances in cryptography and other technologies including AI/ML, and new and sophisticated methods used by criminals including phishing, social engineering or other illicit acts. We have and may in the future experience security breaches or incidents introduced through the tools and services we use. We continuously monitor our infrastructure, adjust our intrusion detection capabilities, and practice security-by-design principles in our software development lifecycle to help prevent and detect security breaches and incidents, including those relating to tools and services provided by third parties. However, there can be no assurance that our defensive measures will prevent cyber attacks or other security breaches or incidents, or allow us to identify, remediate, or otherwise respond to them in a timely or effective manner. Any such attacks, breaches or incidents, or perception that any have occurred, could damage our brand and reputation and negatively impact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customers upload sensitive data to our platform, and data security is therefore a critical competitive factor in our industry. We make numerous statements in our privacy policy and customer agreements, through our certifications to standards and in our marketing materials, providing assurances about the security of our platform, including descriptions of security measures we employ. Should any of these statements be untrue, be perceived to be untrue, or become untrue, even through circumstances beyond our reasonable control, we may face claims of misrepresentation or deceptiveness by the U.S. Federal Trade Commission, state and foreign regulators and private litigants.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increased focus on the development and use of agentic, generative, and other artificial intelligence and machine learning technologies (“AI/ML”) in our platform and our business, or any potential failure to effectively implement, use, and market these technologies, may result in reputational harm or liability, or could otherwise adversely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incorporated and may continue to incorporate AI/ML solutions and features into our platform, such as agentic AI, and otherwise within our business, and these solutions and features may become more important to our operations or to our future growth over time. There can be no assurance that we will realize the desired or anticipated benefits from AI/ML, or at all, and we may fail to effectively implement or market our AI/ML solutions and features. Our competitors or other third parties may incorporate AI/ML into their products, offerings, and solutions more quickly or more successfully than we do, which could impair our ability to compete effectively, and adversely affect our results of operations. We may also face greater competition from non-specialist solutions relying on generic large language models (“LLMs”), generative AI and general-purpose agents to address a broad range of business needs. We must effectively demonstrate to customers and prospects that our solutions and features are superior to other solutions available to their organizations, including generic LLMs, software created using natural language prompts and generative AI, and other emerging technologies. If we are unable to continue to innovate and demonstrate a compelling value proposition that exceeds what customers believe they can create on their own with AI/ML tools, and/or what ERPs are able to integrate directly in their offerings, our ability to attract and retain customers could be diminished, which would adversely affect our business. In addition, if our current and potential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Additionally, our AI/ML solutions and features, including agentic AI, may expose us to additional claims, demands, and proceedings by private parties and regulatory authorities and subject us to legal liability as well as brand and reputational harm. For example, the AI/ML models that we use are trained using various data sets, and if our models are incorrectly designed, the data we use to train them is incomplete or inadequate, or we do not have sufficient rights to use the data on which our models rely, the performance of our AI/ML solutions and features, as well as our reputation, could suffer or we could incur liability through the violation of contractual or regulatory obligations. Agentic AI introduces risks that are distinct from other types of AI, including the potential for agentic AI to operate unpredictably, exceed their prescribed authorizations, or fail to align with internal policies or legal obligations. Errors or unintended actions taken by this agentic AI could lead to significant financial loss, data breaches, contractual breaches, or regulatory non-compliance. Moreover, the use of AI/ML capabilities, including agentic AI or tools to improve internal functions and operations, may also introduce other legal, financial,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strategic risks. We may overestimate the ability of such capabilities and tools to yield these benefits, and we may be required to make additional investments in technology and systems. We may also need to make changes to our business and operating model in light of changes in our industry, which could cause disruptions to our business. We have implemented policies, guidelines, and procedures specifically directed at the use of AI/ML tools in the workplace to address these risks, but the use of AI/ML tools by our workforce may nonetheless result in exposure of our proprietary information to unauthorized recipients, exposure to or misuse by unauthorized recipients of our or third-party data or intellectual property, or failure to comply with open source software requirements. Our efforts to mitigate these risks, including through training, monitoring, and enforcement of our policies, guidelines, and procedures governing the use of AI/ML tools may not be successful.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Furthermore, the legal, regulatory, and policy environments around AI/ML are evolving rapidly. For example, the EU AI Act (“AI Act”), which was approved by the European Council on February 2, 2024, and the European Parliament on March 13, 2024, imposes obligations on providers and users of artificial intelligence technologies. The AI Act may impact the development and adoption of our AI/ML solutions in Europe. Additionally, several U.S. states have proposed, and in certain cases have enacted, legislation imposing obligations in connection with the development or use of, or otherwise regulating, AI/ML technologies. Other countries also are contemplating laws regulating AI/ML technologies. We may become subject to new legal and other obligations in connection with our use of AI/ML, which could require us to make significant changes to our policies and practices, necessitating expenditure of significant time, expense, and other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Interruptions or performance problems associated with our software solutions, platform and technology may adversely affect our business and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continued growth depends in part on the ability of our current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will be harmed.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software contains serious errors or defects, we may lose revenue and market acceptance and may incur costs to defend or settle product liability claims.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Since our customers use our platform for critical business functions such as assisting in the financial close or account reconciliation process, errors, defects or other performance problems could result in damage to our customers. 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depend on our executive officers and other key employees and the loss of one or more of these employees or an inability to attract and retain highly-skilled employees could adversely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success depends largely upon the continued services of our executive officers and other key employees. We rely on our leadership team, some of whom are new, in the areas of research and development, operations, security, marketing, sales and general and administrative functions. Changes in our executive management team resulting from the hiring or departure of executives, or our leadership structure, could disrupt our business, and could impact our ability to preserve our culture, which could negatively affect our ability to recruit and retain personnel. For example, our founder, Therese Tucker, recently retired from full-time executive employment at the Company in June 2026. Our executive officers and other key personnel are at-will employees and, therefore, they could terminate their employment with us at any time. Any such departure could be particularly disruptive in light of the leadership transition. Competition for executive management is high, and it may take months to find a candidate that meets our requirements. Such recruiting efforts could divert the attention of our existing management team. Accordingly, the loss of one or more of our executive officers or key employees could have an adverse effect on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to execute our growth plan, we must attract and retain highly-skilled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and this difficulty may be heightened by labor shortages, higher employee turnover and slower hiring rates associated with hybrid work. In addition, we may need to increase our employee compensation levels in response to competition, rising inflation or labor shortages, which would increase our operating costs and reduce our profitability.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Likewise, if competitors hire our employees, we may divert time and resources to deter any breach by our former employees or their new employers of their respective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due to volatile market conditions, stock price fluctuations or otherwise, it may adversely affect our ability to recruit and retain highly-skilled employees. Further, if we fail to attract new personnel or fail to retain and motivate our current personnel, our business and growth prospects could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industry does not continue to develop as we anticipate or if potential customers do not continue to adopt our platform, our sales will not grow as quickly as expected, or at all, and our business and operating results and financial condition would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operate in a rapidly evolving industry focused on modernizing financial and accounting operations. Some of our solutions are relatively new and have been developed to respond to an increasingly global and complex business environment with more rigorous regulatory standards. Additionally, some of our solutions now incorporate AI-enabled features, such as AI agents. While the use of AI/ML is leading to advancements in technology, if our new solutions are not widely adopted and accepted, or fail to operate as expected, our business and reputation may be harmed. Additionally, as AI/ML capabilities continue to evolve, our customers and potential customers may leverage AI/ML to develop their own solutions, including AI agents, that could reduce or eliminate the need for our solutions. If organizations do not allocate their budgets to financial automation software as we expect or if we do not succeed in convincing potential customers that our platform should be an integral part of their overall approach to their accounting processes, our sales may not grow to the extent or on the timing we anticipate, or at all. Our business is substantially dependent on enterprises recognizing that accounting errors and inefficiencies are pervasive and are not effectively addressed by legacy solutions. Our ability to accelerate or grow sales is dependent on customers continuing to invest in work transformation. Deterioration in general economic conditions in the U.S. or worldwide, including as a result of uncertainty in the financial markets, fluctuating inflation or interest rates, the imposition of tariffs and non-tariff trade barriers, increased energy and commodity price volatility, or uncertainty in the financial services markets associated with geopolitical events and political uncertainty, such as war and political and social upheaval in certain regions of the world, including the conflict in Iran and surrounding nations, may also cause our customers to reduce their overall information technology spending, and such reductions may disproportionately affect software solutions like ours to the extent customers view our solutions as discretionary. If our sales and revenue do not increase for any of these reasons, or any other reason, our business, financial condition and operating results may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in which we participate is intensely competitive, and if we do not compete effectively, our business and operating results could be harmed.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and we also compete with large, well-established, enterprise application software vendors whose software contains components that compete with our platform. In the future, a competitor offering ERP software could include a free service similar to ours as part of its standard offerings, may offer a free standalone version of a service similar to ours, or may limit our ability to access the data housed within the ERP that is necessary for our customers to realize the full benefits of our platform. Further, other established software vendors not currently focused on accounting and finance software and services, including some of our partners, resellers, and other parties with which we have relationships, may expand their services to compete with us.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Some of our competitors have greater name recognition, longer operating histories, more established customer and marketing relationships, larger marketing budgets and significantly greater resources than we do. They may be able to 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Market acceptance of our products may also be affected by customer confusion associated with the introduction of new and emerging technologies by us and our competitors, or changes in technological trends, such as the increase in the use of AI/ML, including agentic AI, particularly to the extent that our potential customers are more easily able to develop their own solutions with AI/ML technologies. 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Failure to effectively organize and motivate our sales resources could harm our ability to increase our customer base.</w:t>
      </w:r>
    </w:p>
    <w:p>
      <w:pPr>
        <w:pStyle w:val="TextBody"/>
        <w:bidi w:val="0"/>
        <w:spacing w:lineRule="auto" w:line="288" w:before="120" w:after="283"/>
        <w:ind w:left="0" w:right="0" w:firstLine="495"/>
        <w:jc w:val="both"/>
        <w:rPr/>
      </w:pPr>
      <w:r>
        <w:rPr>
          <w:rFonts w:ascii="Arial;sans-serif" w:hAnsi="Arial;sans-serif"/>
          <w:b w:val="false"/>
          <w:color w:val="000000"/>
          <w:sz w:val="20"/>
        </w:rPr>
        <w:t>Increasing our customer base and sales will depend, to a significant extent, on our ability to effectively organize and drive our sales and marketing operations and activities. As we have grown and scaled our operations, we have aligned our sales team to help streamline the customer experience. We rely on our direct sales force to obtain new customers and to maximize the lifetime value of our customer relationships through retention and upsell efforts. Our success will depend, in part, on our ability to support new and existing customer growth and maintain customer satisfaction. As we and many of our customers have transitioned to a hybrid or fully remote workplace</w:t>
      </w:r>
      <w:r>
        <w:rPr>
          <w:rFonts w:ascii="Arial;sans-serif" w:hAnsi="Arial;sans-serif"/>
          <w:b w:val="false"/>
          <w:color w:val="212529"/>
          <w:sz w:val="20"/>
        </w:rPr>
        <w:t>, our sales</w:t>
      </w:r>
      <w:r>
        <w:rPr>
          <w:color w:val="000000"/>
        </w:rPr>
        <w:t xml:space="preserve"> </w:t>
      </w:r>
      <w:r>
        <w:rPr>
          <w:rFonts w:ascii="Arial;sans-serif" w:hAnsi="Arial;sans-serif"/>
          <w:b w:val="false"/>
          <w:color w:val="000000"/>
          <w:sz w:val="20"/>
        </w:rPr>
        <w:t xml:space="preserve">and marketing teams have continued to primarily engage with customers online and through other communication channels, including virtual meetings. There is no guarantee that our sales and marketing teams will be as successful or effective using these other communication channels as they try to build relationships. If we cannot provide our teams with the tools and training to enable them to do their jobs efficiently and satisfy customer demands, we may not be able to achieve anticipated revenue growth as quickly as expected.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we believe that there is significant competition for experienced sales professionals with the sales skills and technical knowledge that we require. Our ability to achieve significant revenue growth will depend, in part, on our success in recruiting, training, and retaining a sufficient number of experienced sales professionals. New hires require significant training and time before they achieve full productivity, particularly in new sales segments and territories. Sales professionals that we hire may not become as productive as quickly as we expect, or they may not achieve the levels of productivity we anticipate, and we may be unable to hire or retain sufficient numbers of qualified individuals in the markets where we do business. Our business will be harmed if our sales professionals are not as successful as we anticipate at driving and completing sales.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we are not able to maintain and enhance our brand, our business, operating results and financial condition may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 independent industry analysts provide reviews of our platform, as well as products and services offered by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competitors, and perception of our platform in the marketplace may be significantly influenced by these reviews. If these reviews are negative, or less positive as compared to those of our competitors’ products and services, our brand may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be unable to integrate acquired businesses and technologies successfully or achieve the expected benefits of these transactions and other strategic transactions.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regularly evaluate and consider potential strategic transactions, including acquisitions of, or investments in, businesses, technologies, services, products, and other assets. We also may enter into relationships with other businesses to expand our products and services, which could involve preferred or exclusive licenses, additional channels of distribution or discount pricing.</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Negotiating these transactions can be time-consuming, difficult, and expensive, and our ability to complete these transactions may be subject to approvals and conditions that are beyond our control. Consequently, these transactions, even if announced, may not be completed. In connection with a strategic transaction, we may: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issue additional equity or equity-linked securities that would dilute our existing stockholders;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use cash that we may need in the future to operate our business;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incur large charges or substantial liabilities;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incur debt on terms unfavorable to us or that we are unable to repay;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 xml:space="preserve">become subject to new or conflicting laws, regulations or legal requirements; or </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become subject to adverse tax consequences, substantial depreciation, and amortization, or deferred compensation charges.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Any acquisition, investment or business relationship may result in unforeseen operating difficulties and expenditures. In particular, we may encounter difficulties and incur significant costs assimilating or integrating the businesses, technologies, products, policies,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 which may lead to additional expenses, impairment charges or write-offs, restructuring charges, or other adverse impacts to our business, results of operations, or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Incorrect or improper implementation or use of our solutions could result in customer dissatisfaction and negatively affect our business, results of operations, financial condition, and growth prospects.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use our platform efficiently and effectively, or our failure to provide adequate product support to our customers, may result in negative publicity or legal claims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Also, as we continue to expand our customer base, any failure by us to properly provide these services will likely result in lost opportunities for additional subscriptions to our platform.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failure to offer high-quality product support may adversely affect our relationships with our customers and our financial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 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condition.</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provide service level commitments under our customer contracts, and if we fail to meet these contractual commitments, our revenues could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customer agreements typically provide service level commitments. If we are unable to meet the stated service level commitments or suffer extended periods of unavailability for our applications, for example, due to a cybersecurity incident or human error, we may be contractually obligated to provide these customers with service credits, refunds for prepaid amounts related to unused subscription services, or we could face contract terminations. Our revenues could be significantly affected if we suffer unscheduled downtime that exceeds the allowed downtimes under our agreements with our customers. Any extended service outages could adversely affect our reputation, revenues and operating results.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Financial Performance or Results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may not be able to sustain or increase profitability in the future.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may not maintain profitability in future periods, or if we are profitable, we may not fully achieve our profitability targets. We may incur net losses attributable to BlackLine, Inc. Our reported GAAP profitability can fluctuate, and while we have generated positive free cash flow in recent periods, this metric may not be indicative of our future GAAP profitability. We had an accumulated deficit of $13.0 million at June 30, 2026. We expect our costs to increase in future periods as we continue to expend substantial financial and other resources on:</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development of our cloud-based platform, including investments in research and development, product innovation, including AI/ML technologies, to expand the features and functionality of our software solutions and improvements to the scalability and security of our platform;</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sales and marketing, including expansion of our direct sales force and enabling the selling of a wider breadth of specialized products and our relationships with technology vendors, professional services firms, business process outsourcers and resellers;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additional international expansion in an effort to increase our customer base and sales;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general administration, including legal, accounting, and other expenses.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Furthermore, our reported net income is impacted by factors beyond our operational spending, including fluctuations in interest income and our provision for income taxes.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quarterly results may fluctuate, and if we fail to meet the expectations of analysts or investors, our stock price and the value of your investment could decline substantially.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our ability to attract new customers and retain and increase sales to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amount and timing of operating costs and capital expenditures;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number of new employees added;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rate of expansion and productivity of our sales force;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length of sales cycles and the timing of large contracts;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our or our competitors’ pricing policies;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new products, features or functionalities introduced by us and our competitors;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significant security breaches, technical difficulties or interruptions to our platform;</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timing of customer payments and payment defaults by customers;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general economic conditions that may adversely affect either our customers’ ability or willingness to purchase additional products or services, delay a prospective customer’s purchasing decision or affect customer retention, including the macroeconomic environment, increased energy and commodity price volatility, uncertainty in the financial services market, inflation, fluctuating interest rates, tariffs and other non-tariff trade barriers, or geopolitical events;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impact and timing of expenses related to restructuring actions or other employee terminations that may result in severance expense;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foreign currency exchange rates;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impact of new accounting pronouncements;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impact and timing of taxes or changes in tax law;</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timing and the amount of grants or vesting of equity awards to employees;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seasonality of our business;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customer budgets and buying patterns.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in different periods will cause fluctuations in our financial metrics and, to a lesser extent, revenues. Those changes and fluctuations in our expenses will affect our results on a quarterly basis, and will make forecasting our operating results and financial metrics difficult.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financial results may fluctuate due to our long and increasingly variable sales cycle.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mid-size customers. In addition, the length of the sales cycle tends to increase for larger contracts and for more complex, strategic products like our Intercompany solutions. As we continue to focus on increasing our average contract size and selling more strategic products, we expect our sales cycle to lengthen and become less predictable. This could cause variability in our operating results for any particular period.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 number of other factors that may influence the length and variability of our sales cycle include: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need to educate potential customers about the uses and benefits of our software solutions;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need to educate potential customers on the differences between traditional, on-premise software and SaaS solutions;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relatively long duration of the commitment customers make in their agreements with us;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discretionary nature and timing of potential customers’ purchasing and budget cycles and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competitive nature of potential customers’ evaluation and purchasing processes;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announcements or planned introductions of new products by us or our competitors;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lengthy purchasing approval processes of potential customers, including due to increased scrutiny of spending.</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 organizations may demand more features and integration services and have increased purchasing power and 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transactions would otherwise have been recognized, may be adversely affected.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Uncertainty around general macroeconomic conditions has in the past and may in the future cause customers to delay and defer purchasing decisions, which has and may lead to a deterioration in near-term demand. In addition, we may devote greater research and development, sales, product support, and professional services resources to potential customers that do not result in actual sales or revenue, resulting in increased costs and reduced profitability, and which could strain our resources.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recognize subscription revenue over the term of our customer contracts and, consequently, downturns or upturns in new sales may not be immediately reflected in our operating results and may be difficult to discern.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recognize subscription revenue from our platform ratably over the terms of our customers’ agreements, most of which have initial terms of three years. Most of the revenue we report in each quarter is derived from the recognition of deferred revenue related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that agreement. As a result, growth in the number of our customers could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face exposure to foreign currency exchange rate fluctuations that could harm our results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have implemented a program to hedge exposures to fluctuations in foreign currencies, including the use of foreign currency forward contracts. We may also use other derivative instruments, such as option contracts, to hedge exposures to fluctuations in foreign currency exchange rates. However, the use of such hedging activities may not offset any or more than a portion of the adverse financial effects of unfavorable movements in foreign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exchange rates over the limited time the hedges are in place. Moreover, the use of hedging instruments may introduce additional risks if we are unable to structure effective hedges with such instruments.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goodwill or intangible assets become impaired, we may be required to record a significant charge to earnings.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review our goodwill and intangible assets for impairment when events or changes in circumstances indicate the carrying value may not be recoverable. Goodwill is required to be tested for impairment at least annually. At June 30, 2026, we had goodwill and intangible assets with a net book value of $507.5 million primarily related to acquisitions.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negative impact on our operating results.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ability to use our net operating losses to offset future taxable income may be subject to limitations.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December 31, 2025, we had federal and state net operating loss carryforwards (“NOLs”) of $81.4 million and $82.9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taxable income. For example, California enacted legislation which suspends the use of NOLs for taxable years 2024, 2025, and 2026. For these reasons, we may not be able to realize a tax benefit from the use of our NOLs, whether or not we attain profitability.</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Dependence on Third Parties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our relationships with technology vendors and business process outsourcers are not successful, our business and growth may be harmed.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depend on, and anticipate that we will continue to depend on, various strategic relationships in order to sustain and grow our business. We have established strong relationships with technology vendors, such as SAP and other providers to offer our solutions to users of their ERP solutions. We engage global professional services firms and business process outsourcers to expand market reach and customer advocacy, as well as supplement delivery and implementation of our applications. We believe these relationships enable us to effectively market our solutions by offering a complementary suite of services. In particular, our solution integrates with SAP’s ERP solutions. SAP is part of the reseller channel that we use in the ordinary course of business, and accounts for a material portion of our total revenue. SAP has the ability to resell our solutions as SAP SolEx, for which we receive a percentage of the revenues. If we are unsuccessful in maintaining our relationship with SAP, if our reseller arrangement with SAP is less successful than we anticipate, or if we are unsuccessful in supporting or expanding our relationships with other companies, our business would be adversely affected. Also, resellers, such as SAP, may impose unfavorable terms on us that they pass down from their own agreements with the end customer. Additionally, while we continue to build relationships with a variety of third-party partners and will continue to support all ERP solutions, to the extent that our partnership with SAP continues to expand, this partnership may be a deterrent to other potential partners.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our solution is no longer resold by SAP as a solution extension, our business would be adversely affected. Our competitors may be effective in providing incentives to third parties to favor their products or services or to prevent or reduce subscriptions to our platform. If we are unsuccessful in establishing or maintaining our relationships, or if the counterparties to our relationships offer competing solutions, our ability to compete in the marketplace or to grow our revenue could be impaired and our operating results could suffer. Even if we are successful, we cannot assure you that these relationships will result in improved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rely on third-party computer hardware and software that may cause errors or failure of our software solutions, or may be difficult to replace.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rely on computer hardware purchased or leased and software licensed from third parties, including third-party SaaS applications, in order to deliver our software solutions. Errors or defects in third-party hardware or software used in our software solutions could result in errors or a failure, which could damage our reputation, impede our ability to provide our platform or process information, and adversely affect our business. Furthermore, certain third-party hardware and software may not continue to be available on commercially reasonable terms, if at all. Any loss of the right to use any of this hardware or software could result in delaying or preventing our ability to provide our software solutions until equivalent technology is either developed by us or, if available, identified, obtained and integrated.</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rely on Google Cloud Platform (“GCP”), Microsoft Azure (“Azure”), Amazon Web Services (“AWS”), Snowflake, and third-party data centers (collectively, “public cloud providers”) to deliver our cloud-based software solutions, and any disruption of our use of public cloud providers could negatively impact our operations and harm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manage our software solutions and serve most of our customers using a multi-cloud infrastructure hosted across GCP, Azure, and AWS, with regions and availability zones in North America, Europe, Asia-Pacific, and the Middle East. We recently migrated all Financial Close &amp; Consolidation clients from our third-party data centers to GCP, increasing our reliance on this cloud provider. Additionally, we rely on Azure to serve Invoice-to-Cash customers, and we rely on AWS to serve our intercompany customers. We have experienced, and may continue to experience, occasional planned or unplanned downtime for our cloud-based software solutions and potential service delays, all of which has impacted, and may in the future impact, our customers’ ability to use our solutions. If data is lost in connection with the migration to GCP, we could be exposed to liability, reputational harm, and customer loss. Our Customer Data Platform is built on Snowflake for Financial Close &amp; Consolidation, Invoice-to-Cash, and Intercompany solutions, allowing customers to access their data, reports, and integrations. We may also need to divert resources away from other important business operations, which could harm our business and growth.</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do not control the operation of our public cloud providers. Any changes in third-party service levels or any disruptions or delays from errors, defects, hacking incidents, security breaches, computer viruses, denial of service attacks, bad acts or performance problems could harm our reputation, damage our customers’ businesses, and adversely affect our business and operating results. Our public cloud providers are also vulnerable to damage or interruption from earthquakes, hurricanes, floods, fires, war, public health crises, terrorist attacks, power losses, hardware failures, systems failures, telecommunications failures and similar events. We may have limited remedies against third-party providers in the event of any service disruptions. If our third-party public cloud providers are compromised or unavailable or our customers are unable to access our solutions for any reason, our business would be materially and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customers have experienced minor disruptions and outages in accessing our solutions in the past, and may experience disruptions, outages, and other performance problems. Although we expend considerable effort to ensure that our platform performance is capable of handling existing and increased traffic levels, the ability of our cloud-based solutions to effectively manage any increased capacity requirements depends on our public cloud providers. Our public cloud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our customers. Interruptions in our services might reduce our revenue, cause us to issue credits to customers, subject us to potential liability, and cause customers to terminate their subscriptions or harm our renewal rates.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If we do not accurately predict our infrastructure capacity requirements, our customers could experience service shortfalls. The provisioning of additional cloud hosting capacity requires lead time. As we continue to restructure our data management plans, and increase our cloud hosting capacity,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Our public cloud providers have no obligations to renew their agreements with us on commercially reasonable terms, or at all. If any of our public cloud providers increases pricing terms, terminates or seeks to terminate our contractual relationship, establishes more favorable relationships with our competitors, or changes or interprets their terms of service or policies in a manner that is unfavorable with respect to us, we may be required to transfer to other providers. If we are required to transfer to other providers, we would incur significant costs and experience possible service interruption in connection with doing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We depend and rely upon SaaS applications from third parties to operate our business and provide our software solutions, and interruptions, outages, or performance problems with these technologies may adversely affect our business and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rely heavily upon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 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If we are unable to develop and maintain successful relationships with resellers, our business, operating results and financial condition could be adversely affected.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believe that continued growth in our business is dependent upon identifying, developing, and maintaining strategic relationships with companies that resell our solutions. We continue to strengthen our relationships with our existing network of resellers to help grow our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 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Legal and Regulatory Environment</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long-term success depends, in part, on our ability to expand the sales of our solutions to customers located outside of the U.S., and thus our business is susceptible to risks associated with international sales and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We currently maintain offices and/or have personnel outside the U.S., including, without limitation, in Australia, Canada, France, Germany, India, Japan, Mexico, the Netherlands, Poland, Romania, Singapore, and the United Kingdom, and we intend to build out our international operations. In addition to our organic growth, we have also executed acquisitions and strategic transactions outside the U.S. as part of our ongoing international expansion strategy. We derived approximately 32% and 30% of our revenues from sales outside the U.S. during the six months ended June 30, 2026 and 2025, respectively. Any international expansion efforts that we may undertake, including acquisitions of businesses outside the U.S., may not be successful.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Conducting international operations, particularly in new markets, subjects us to additional risks. These risks include: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localization of our solutions, including translation into foreign languages and adaptation for local practices and regulatory requirements, including, without limitation, data residency and cloud sovereignty requirements;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lack of familiarity and burdens of complying with foreign laws, legal standards, regulatory requirements, tariffs and other barriers;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legal and regulatory requirements, taxes, trade laws, tariffs, export quotas, custom duties or other trade restrictions;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differing technology standards;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longer accounts receivable payment cycles and difficulties in collecting accounts receivable;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difficulties in managing and staffing international operations and differing employer/employee relationships;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fluctuations in exchange rates that may increase the volatility of our foreign-based revenue;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potentially adverse tax consequences, including the complexities of foreign value-added tax (or other tax) systems and restrictions on the repatriation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uncertain political and economic climates, including the significant volatility in the global financial markets and increasing inflation;</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impact of natural disasters, climate change, geopolitical events and political uncertainty, including war and political and social upheaval in certain regions in the world, such as the conflict in Iran and surrounding nations, and public health pandemics, on employees, customers, partners, third-party contractors, travel and the global economy;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reduced or varied protection for intellectual property rights in some countries.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Privacy and cybersecurity concerns, customer expectations, and evolving domestic or foreign laws and regulations, including increased regulation of cloud offerings and restrictions of cross-border data transfers, may limit or reduce the adoption of our services, result in significant costs and compliance challenges, and adversely affect our business.</w:t>
      </w:r>
    </w:p>
    <w:p>
      <w:pPr>
        <w:pStyle w:val="TextBody"/>
        <w:bidi w:val="0"/>
        <w:spacing w:lineRule="auto" w:line="288" w:before="120" w:after="283"/>
        <w:ind w:left="0" w:right="0" w:firstLine="495"/>
        <w:jc w:val="both"/>
        <w:rPr/>
      </w:pPr>
      <w:r>
        <w:rPr>
          <w:rFonts w:ascii="Arial;sans-serif" w:hAnsi="Arial;sans-serif"/>
          <w:b w:val="false"/>
          <w:color w:val="000000"/>
          <w:sz w:val="20"/>
        </w:rPr>
        <w:t>Global legal and regulatory requirements related to collecting, storing, handling, transferring, and otherwise processing personal data are rapidly evolving in ways that require our business to adapt to support our compliance and our customers’ compliance. As the regulatory focus on privacy, data protection, cybersecurity, and cloud offerings generally intensifies worldwide, and jurisdictions increasingly consider and adopt laws and regulations relating to these matters, the potential risks related to processing personal data by our business may grow. In addition, possible adverse interpretations of existing laws and regulations by governments in countries where we or our customers operate, as well as the potential implementation of new legislation, could impose significant obligations in areas affecting our business or prevent us from offering certain services in jurisdictions where we operate.</w:t>
      </w:r>
      <w:r>
        <w:rPr>
          <w:color w:val="000000"/>
          <w:shd w:fill="FFFFFF" w:val="clear"/>
        </w:rPr>
        <w:t xml:space="preserve"> </w:t>
      </w:r>
      <w:r>
        <w:rPr>
          <w:rFonts w:ascii="Arial;sans-serif" w:hAnsi="Arial;sans-serif"/>
          <w:b w:val="false"/>
          <w:color w:val="000000"/>
          <w:sz w:val="20"/>
        </w:rPr>
        <w:t>Any failure or perceived failure to comply with applicable laws or regulations relating to privacy, data protection, or cybersecurity may harm our reputation and inhibit competitiveness or otherwise adversely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Privacy, data protection, and cybersecurity have become significant issues in the U.S., Europe, and in many other jurisdictions where we offer our products. Following the European Union’s passage of the General Data Protection Regulation (“GDPR”), which became effective in May 2018, the global regulatory landscape relating to privacy, data protection, and cybersecurity has grown increasingly complex and fragmented and is rapidly evolving. As a result, our business faces current and prospective risks related to increased regulatory compliance costs, reputational harm, negative effects on our existing business and on our ability to attract and retain new customers, and increased potential exposure to regulatory enforcement, litigation, and/or financial penalties for non-compliance. For example, in July 2020, the Court of Justice of the European Union (“CJEU”) invalidated the Privacy Shield framework, which enabled companies to legally transfer data from the European Economic Area (“EEA”) to the U.S. This ruling from the CJEU and recent rulings from various European Union (“EU”) member state data protection authorities have created complexity and uncertainty regarding processing and transfers of personal data from the EEA to the U.S. and certain other countries outside the EEA.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Moreover, on June 4, 2021, the European Commission adopted new Standard Contractual Clauses (“SCCs”), which impose additional obligations relating to personal data transfers out of the EEA. The new SCCs, and similar standard contractual clauses adopted in the UK, may increase the legal risks and liabilities associated with cross-border data transfers, and result in material increased compliance and operational costs.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use to legitimize personal data transfers to the U.S. from the EEA,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The European Commission's adequacy decision regarding the DPF also provides that the DPF will be subject to future reviews and may be subject to suspension, amendment, repeal, or limitations in scope by the European Commission. More generally, uncertainty may continue about the legal requirements for transferring customer personal data to and from the EEA, UK, Switzerland, and other regions, a process integral to our business. Countries have passed, or are considering passing, laws imposing varying degrees of restrictive data residency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cloud sovereignty requirements, which have created or could create additional costs and complexity, and any new requirements may result in additional costs and complexity.</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the UK has established its own domestic regime with the UK GDPR and amendments to the Data Protection Act. While the UK GDPR imposes obligations and penalties similar to the GDPR, the UK government enacted the UK Data (Use and Access) Act 2025 on June 19, 2025, which made targeted amendments to the UK GDPR and the Data Protection Act. This has introduced additional compliance complexity. Further, if UK regulation of data protection diverges further from the EU, new obligations and data flow issues could emerge, creating costs and complexity. Actual or alleged failure to comply with the GDPR or the UK GDPR can result in private lawsuits, reputational damage, loss of customers, and regulatory enforcement actions, which can result in significant fines, including, under the GDPR, fines of up to EUR 20 million (or GBP 17.5 million under the UK GDPR) or four percent (4%) of global revenue, whichever is greater.</w:t>
      </w:r>
    </w:p>
    <w:p>
      <w:pPr>
        <w:pStyle w:val="TextBody"/>
        <w:bidi w:val="0"/>
        <w:spacing w:lineRule="auto" w:line="288" w:before="120" w:after="283"/>
        <w:ind w:left="0" w:right="0" w:firstLine="54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Further, cybersecurity laws and regulations continue to evolve worldwide. For example, the EU’s Digital Operational Resilience Act (“DORA”) creates an information and communication technology (“ICT”) risk management framework for financial institutions and their critical ICT service providers. DORA introduces obligations regarding risk assessments, technical standards, mandatory penetration testing, staff training, and incident notification. It also requires due diligence on third-party ICT service providers and the inclusion of specific provisions in ICT service agreements. DORA took effect on January 17, 2025, and compliance with the regulation may require changes in our services and related policies and practices and may require us to incur significant costs. Further, the EU revised its Cybersecurity Directive (“NIS2”), with EU member states having been obligated to transpose it into national law by October 17, 2024, but with some member states’ transpositions yet to be finalized. NIS2, among other things, obligates companies to adopt or update policies and procedures on issues such as incident handling and supply chain security, implementing certain administrative measures, and requires top management’s involvement in cybersecurity risk management measures, with top management potentially held liable for noncompliance. </w:t>
      </w:r>
    </w:p>
    <w:p>
      <w:pPr>
        <w:pStyle w:val="TextBody"/>
        <w:bidi w:val="0"/>
        <w:spacing w:lineRule="auto" w:line="288" w:before="120" w:after="283"/>
        <w:ind w:left="0" w:right="0" w:firstLine="495"/>
        <w:jc w:val="both"/>
        <w:rPr/>
      </w:pPr>
      <w:r>
        <w:rPr>
          <w:rFonts w:ascii="Arial;sans-serif" w:hAnsi="Arial;sans-serif"/>
          <w:b w:val="false"/>
          <w:color w:val="000000"/>
          <w:sz w:val="20"/>
        </w:rPr>
        <w:t xml:space="preserve">Regulatory developments in the U.S. present additional risks. For example, the California Consumer Privacy Act, as amended by the California Privacy Rights Act, gives California consumers, including employees, certain rights similar to those provided by the GDPR, and also provides for statutory damages or fines on a per violation basis that could be very large depending on the severity of the violation. </w:t>
      </w:r>
      <w:r>
        <w:rPr>
          <w:rFonts w:ascii="Arial;sans-serif" w:hAnsi="Arial;sans-serif"/>
          <w:b w:val="false"/>
          <w:color w:val="000000"/>
          <w:sz w:val="20"/>
          <w:shd w:fill="FFFFFF" w:val="clear"/>
        </w:rPr>
        <w:t xml:space="preserve">Numerous other states have also enacted or are in the process of enacting or considering state-level data privacy and security laws, rules and regulations. </w:t>
      </w:r>
      <w:r>
        <w:rPr>
          <w:rFonts w:ascii="Arial;sans-serif" w:hAnsi="Arial;sans-serif"/>
          <w:b w:val="false"/>
          <w:color w:val="000000"/>
          <w:sz w:val="20"/>
        </w:rPr>
        <w:t>Furthermore, the U.S. Federal Trade Commission continues to use its enforcement authority under Section 5 of the FTC Act against companies for privacy and cybersecurity practices alleged to be unfair or deceptive.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Globally, virtually every jurisdiction in which we operate has established its own frameworks governing privacy, data protection, cybersecurity, and cloud offerings generally with which we, and/or our customers, must comply. These laws and regulations often are more restrictive than those in the U.S. Regulatory developments in these countries may require us to modify our policies, procedures, and data processing measures in order to address requirements under these or other applicable privacy, data protection, or cybersecurity regimes, and we may face claims, litigation, investigations, or other proceedings regarding them, initiated by private parties and governmental authorities, and may incur related liabilities, expenses, costs, and operational losses. Our compliance efforts are further complicated by the fact that laws and regulations relating to privacy, data protection, cybersecurity, and cloud offerings generally around the world are rapidly evolving, may be subject to uncertain or inconsistent interpretations and enforcement, and may conflict among various jurisdictions. For example, the European Union’s Data Act (“EU Data Act”), which became applicable on September 12, 2025, imposes certain data and cloud service interoperability and switching obligations to enable users to switch between providers without undue delay or cost, as well as certain requirements concerning cross-border international transfers of, and government access to, non-personal data outside the European Economic Area. Depending on how the EU Data Act is implemented and interpreted, we may be required to adjust contract terms and technical measures for data portability in order to comply. These changes may result in additional compliance and operational costs, which may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to government activity, privacy advocacy and other industry groups have established or may establish various new, additional, or different self-regulatory standards that may place additional burdens on us. Our customers may require us, or we may find it advisable, to meet voluntary certifications or adhere to other standards established by them or third parties, such as the SSAE 18, SOC1, and SOC2 audit processes. If we are unable to maintain such certifications, comply with such standards, or meet such customer requests, it could reduce demand for our services and adversely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Compliance with applicable laws and regulations relating to privacy, data protection, cybersecurity, and cloud offerings generally may require changes in our services, practices, or internal systems that result in increased costs, lower revenue, reduced efficiency, or negative effects on our ability to attract and retain customers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industries and foreign countries, which could adversely affect our business. The costs of compliance with, and other obligations imposed by, these laws and regulations may require modification of our services, limit use and adoption of our services, reduce overall demand for our services, lead to significant fines, penalties, or liabilities for actual or alleged noncompliance, or slow the pace at which we close sales transactions, any of which could harm our business. Privacy, data protection, and cybersecurity concerns, whether valid or not valid, may inhibit the market adoption, effectiveness, or use of our services, particularly in certain industries and foreign countries.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are subject to governmental export and import controls that could impair our ability to compete in international markets due to licensing requirements and subject us to liability if we are not in full compliance with applicable laws.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solutions are subject to export controls, including the Commerce Department’s Export Administration Regulations and various economic and trade sanctions regulations established by the Treasury Department’s Office of Foreign Assets Control.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regions, governments and persons. Even though we take precautions to prevent our solutions from being provided to U.S. sanctions targets, our solutions could be sold by resellers or could be used by persons in sanctioned regions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various countries could enact laws that could limit our ability to distribute our solutions or could limit our customers’ ability to implement or access our solutions in those countries. Changes in our solutions or changes in export and import regulations may create delays in the introduction and sale of our solutions in international markets, prevent our customers with international operations from accessing our solutions or, in some cases, prevent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current or potential customers with international operations. Any decreased use of our solutions or limitation on our ability to export or sell our solutions would likely adversely affect our business, financial condition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Changes in laws and regulations related to the internet and cloud computing or changes to internet infrastructure may diminish the demand for our solutions and could have a negative impact on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 imposed guidelines for the use of cloud computing services that mandate specific controls or require financial services enterprises to obtain regulatory approval prior to utilizing such software. The EU Data Act includes certain data and cloud service interoperability and switching obligations to enable users to switch between providers without undue delay or cost. Changes in these laws or regulations and to their interpretation by courts, regulators, and market participants could require us to modify our solutions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Furthermore, favorable laws may change, including for example, in the U.S. where net neutrality regulations have been repealed and federal court challenges to reinstatement have been unsuccessful. Given uncertainty around these rules, including changing interpretations, amendments, or repeal, coupled with potentially significant political and economic power of local network operators, we could experience discriminatory or anti-competitive practices that could impede our growth, cause us to incur additional expense, or otherwise negatively affect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international operations may subject us to potentially adverse tax consequences.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enactment of legislation implementing changes in the U.S. and global taxation of international business activities or the adoption of other tax reform policies could materially impact our financial position and results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Any changes in the U.S. or global taxation of our activities may increase our worldwide effective tax rate and adversely affect our financial position and results of operations. For example, the Inflation Reduction Act includes, among other provisions, an alternative minimum tax on adjusted financial statement income and a 1% excise tax on stock buybacks. On July 4, 2025, H.R. 1, also known as the “One Big Beautiful Bill Act,” was enacted into law, making a number of changes to U.S. federal income tax law, including permanently suspending the requirement to capitalize and amortize domestic research and development expenditures and permitting such deductions on a current basis. Further, California has recently amended its sales tax law to subject certain retail sales of digital prewritten software, cloud-based applications, and software services to sales tax in California, effective January 1, 2027, which may increase the cost to our California-based customers of purchasing our products and similarly, may increase the costs to us of purchasing software products we use in our business. In addition, the Organization for Economic Cooperation and Development has proposed a global minimum tax of 15% (“Pillar 2”), which has been adopted by or is being considered by EU member states and certain other jurisdictions. On January 5, 2026, the OECD announced a “side-by-side” elective safe harbor that exempts U.S.-parented multinational entities from certain provisions of Pillar 2 for fiscal years beginning on or after January 1, 2026. These and other proposed or implemented changes in the U.S. and global taxation could adversely impact our financial position and results of operations.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Sales and use, value-added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Intellectual Property</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Any failure to protect our intellectual property rights could impair our ability to protect our proprietary technology and our brand.</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Our success and ability to compete depend, in part, upon our intellectual property. We currently have two patents and primarily rely on copyright, trade secret and trademark laws, trade secret protection, and confidentiality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or license agreements with our employees, customers, partners and others to protect our intellectual property rights. However, the steps we take to protect our intellectual property rights may be inadequate.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Lawsuits or other claims by third parties for alleged infringement of their proprietary rights could cause us to incur significant expenses or liabilities.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There is considerable patent and other intellectual property development activity in our industry. Our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use open source software in our products, which could subject us to litigation or other actions.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Ownership of Our Common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market price of our common stock may be volatile, and you could lose all or part of your investment.</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market price of our common stock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actual or anticipated fluctuations in our operating results;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the financial projections we may provide to the public, any changes in these projections or our failure to meet these projections;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estimates by any securities analysts who follow BlackLine or our failure to meet the estimates or expectations of analysts and investors;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ratings changes by any securities analysts who follow BlackLine or failure of such analysts to initiate or maintain coverage of BlackLine;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announcements by us or our competitors of significant technical innovations, acquisitions, strategic relationships, joint ventures, or capital commitments;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changes in accounting standards, policies, guidelines, interpretations or principles;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actual or perceived privacy, security, data protection, or cybersecurity incidents;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developments or disputes concerning our intellectual property, or our products or third-party proprietary rights;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announced or completed acquisitions of businesses or technologies by us or our competitors;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any major change in our Board of Directors (the “Board”) or management;</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sales of shares of our common stock by us or our stockholders;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issuances of shares of our common stock, including in connection with an acquisition or upon conversion of some or all of our outstanding 2029 Notes (as defined below);</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lawsuits threatened or filed against us;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actual or rumored stockholder activism;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other events or factors, including macroeconomic uncertainty, instability or uncertainty in the banking and financial services sector, geopolitical events and political uncertainty, including war and political and social upheaval, incidents of terrorism, outbreaks of pandemic diseases, presidential elections, civil unrest, or responses to these events.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the stock markets have experienced significant price and volume fluctuations. Stock prices of many companies, and technology companies in particular, have fluctuated in a manner unrelated or disproportionate to the operating performance of those companies. Stockholders have instituted securities class action litigation following periods of market volatility. If we were to become the target of this type of litigation in the future, it could subject us to substantial costs, divert resources and the attention of management, and adversely affect our business, results of operations, financial condition and cash flows.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Provisions of our corporate governance documents could make an acquisition of BlackLine more difficult and may impede attempts by our stockholders to replace or remove our current management, even if beneficial to our stockholders.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and amended and restated bylaws and the Delaware General Corporation Law (the “DGCL”) contain provisions that could make it more difficult for a third-party to acquire us or prevent a change in our management, even if doing so might be beneficial to our stockholders. Among other things: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we have a classified board of directors with staggered three-year terms;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stockholder action by written consent is prohibited;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any amendment, alteration, rescission or repeal of our amended and restated bylaws or of certain provisions of our amended and restated certificate of incorporation by our stockholders requires the affirmative vote of the holders of at least 75% of the voting power of our stock entitled to vote thereon, voting together as a single class outstanding;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stockholders are required to comply with advance notice requirements for nominations for elections to our Board or for proposing matters that can be acted upon by stockholders at stockholder meetings.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These provisions may frustrate or prevent any attempts by our stockholders to replace or remove our current management by making it more difficult for stockholders to replace members of our Board, which is responsible for appointing the members of our management. In addition, institutional stockholder representative groups, stockholder activists and others may disagree with our corporate governance provisions or other practices, including anti-takeover provisions, such as those listed above. We generally will consider recommendations of institutional stockholder representative groups, but we will make decisions based on what our Board and management believe to be in the best long-term interests of our company and stockholders; however, these groups could make recommendations to our stockholders against our practices or our Board members if they disagree with our positions. 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BlackLine, including actions that our stockholders may deem advantageous, or negatively affect the trading price of our common stock.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do not intend to pay dividends on our common stock so any returns will be limited to changes in the value of our common stock.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have never declared or paid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and provided that this exclusive forum provision will not apply to suits brought to enforce any liability or duty created by the Securities Exchange Act of 1934, as amended (the “Exchange Act”).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 However,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Any person or entity purchasing or otherwise acquiring or holding any interest in any of our securities shall be deemed to have notice of and consented to this provision. This exclusive forum provision in our amended and restated bylaws may limit a stockholder's ability to bring a claim in a judicial forum of its choosing for disputes with us or any of our directors, officers, or other employees, which may discourage lawsuits against us and our directors, officers, and other employees. If a court were to find the exclusive forum provision in our amended and restated bylaws to be inapplicable or unenforceable in an action, we could incur additional costs associated with resolving such action in other jurisdictions, which could harm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Risks Related to Our Outstanding Convertible Senior Notes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Servicing our Notes may require a significant amount of cash and we may not have sufficient cash to settle conversions of the Notes in cash, to repurchase the Notes upon a fundamental change, or to repay the principal amount of the Notes in cash at their maturity, and our future debt may contain limitations on our ability to pay cash upon conversion or repurchase of the Notes.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At June 30, 2026, we had $675.0 million aggregate principal amount of our 1.00% Convertible Senior Notes due in 2029 (the “2029 Notes”) outstanding.</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Holders of the 2029 Notes will have the right to require us to repurchase all or a portion of the 2029 Notes upon the occurrence of a fundamental change before the maturity date at a repurchase price equal to 100% of the principal amount of the 2029 Notes to be repurchased, plus accrued and unpaid interest or special interest, if any, as described in the indenture governing the 2029 Notes. In addition, upon conversion of the 2029 Notes, unless we elect to deliver solely shares of our common stock to settle such conversion (other than paying cash in lieu of delivering any fractional share), we will be required to make cash payments in respect of the 2029 Notes being converted, as described in the indenture governing the 2029 Notes. Moreover, we will be required to repay the 2029 Notes in cash at maturity unless earlier converted, redeemed, or repurchased. However, we may not have enough available cash on hand or be able to obtain financing at the time we are required to make repurchases of the 2029 Notes surrendered therefor or pay cash with respect to the 2029 Notes being converted or at their respective maturity. Our ability to repay or refinance the 2029 Notes will depend on market conditions and our future performance, which is subject to economic, financial, competitive, and other factors beyond our control. Further, if the 2029 Notes convert and we elect to issue common stock in lieu of cash upon conversion, our existing stockholders could suffer significant dilution.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 addition, our ability to repurchase the 2029 Notes or to pay cash upon conversions of the 2029 Notes or at maturity may be limited by law, regulatory authority, or agreements governing our future indebtedness. Our failure to repurchase the 2029 Notes at a time when the repurchase is required by the indenture governing the 2029 Notes or to pay cash upon conversion of the 2029 Notes or at maturity as required by the indenture governing the 2029 Notes would constitute a default under the indenture. A default under the indenture or the fundamental change itself could also lead to a default under agreements governing our existing and future indebtedness. Moreover, the occurrence of a fundamental change under the indenture governing the 2029 Notes could constitute an event of default under any such agreement. If the payment of the related indebtedness were to be accelerated after any applicable notice or grace periods, we may not have sufficient funds to repay such indebtedness and repurchase the 2029 Notes or pay cash with respect to the 2029 Notes being converted or at maturity of the 2029 Notes, which could harm our business, results of operations, or financial condition. </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Our current and future indebtedness may limit our operating flexibility or otherwise affect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Our existing and future indebtedness could have important consequences to our stockholders and significant effects on our business. For example, it could: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make it more difficult for us to satisfy our debt obligations, including the 2029 Notes;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increase our vulnerability to general adverse economic and industry conditions;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require us to dedicate a substantial portion of our cash flows from operations to payments on our indebtedness, thereby reducing the availability of our cash flows to fund working capital and other general corporate purposes;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limit our flexibility in planning for, or reacting to, changes in our business and the industry in which we operate;</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restrict us from exploiting business opportunities;</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place us at a competitive disadvantage compared to our competitors that have less indebtedness; and</w:t>
      </w:r>
    </w:p>
    <w:p>
      <w:pPr>
        <w:pStyle w:val="TextBody"/>
        <w:bidi w:val="0"/>
        <w:spacing w:lineRule="auto" w:line="288" w:before="120" w:after="283"/>
        <w:ind w:left="0" w:right="0" w:hanging="720"/>
        <w:jc w:val="both"/>
        <w:rPr/>
      </w:pPr>
      <w:r>
        <w:rPr>
          <w:color w:val="000000"/>
        </w:rPr>
        <w:t>•</w:t>
      </w:r>
      <w:r>
        <w:rPr>
          <w:rFonts w:ascii="Arial;sans-serif" w:hAnsi="Arial;sans-serif"/>
          <w:b w:val="false"/>
          <w:color w:val="000000"/>
          <w:sz w:val="20"/>
        </w:rPr>
        <w:t>limit our ability to borrow additional funds for working capital, capital expenditures, acquisitions, debt service requirements, execution of our business strategy or other general purposes.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Any of the foregoing could have a material adverse effect on our business, results of operations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conditional conversion feature of the 2029 Notes, if triggered, may adversely affect our financial condition and operating results.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the event the conditional conversion feature of the 2029 Notes is triggered, holders of the 2029 Notes will be entitled under the indenture governing the 2029 Notes to convert the 2029 Notes at any time during the specified periods at their option. At June 30, 2026, the conditional conversion feature of the 2029 Notes was not triggered. If the conditional conversion feature of the 2029 Notes is triggered and one or more holders elects to convert their 2029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in certain circumstances, such as conversions by holders or redemption, we could be required under applicable accounting rules to reclassify all or certain of the outstanding principal of such series of 2029 Notes as a current rather than long-term liability, which would result in a material reduction of our net working capital.</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2029 Capped Calls may affect the value of our common stock and we are subject to counterparty risk with respect to the 2029 Capped Calls.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connection with the issuance of the 2029 Notes, we entered into certain capped call transactions (the “2029 Capped Calls”) with the counterparties with respect to the 2029 Notes.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at any time prior to the maturity of the 2029 Notes (and are likely to do so on each exercise date of the 2029 Capped Calls). This activity could also cause or prevent an increase or a decrease in the market price of our common stock.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In addition, global economic conditions have in the past resulted in the actual or perceived failure or financial difficulties of many financial institutions. The counterparties to the 2029 Capped Calls are financial institutions and we will be subject to the risk that one or more of the counterparties may default or otherwise fail to perform, or may exercise certain rights to terminate, their obligations under the 2029 Capped Calls. If a counterparty to one or more 2029 Capped Calls becomes subject to insolvency proceedings, we will become an unsecured creditor in those proceedings with a claim equal to our exposure at the time under such transaction. Our exposure will depend on many factors but, generally, it will increase if the market price or the volatility of our common stock increases. Upon a default or other failure to perform, or a termination of obligations, by a counterparty, we may suffer adverse tax consequences and more dilution than we currently anticipate with respect to our common stock. We can provide no assurances as to the financial stability or viability of the counterparties.</w:t>
      </w: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require additional capital to support business growth, and this capital may not be available on acceptable terms, if at all.</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We intend to continue to make investments to support our business growth and may require additional funds to respond to business challenges, such as refinancing needs, the need to develop new features or enhance our existing solutions, or to improve our operating infrastructure or acquire complementary businesses and technologies. Accordingly, from time to time we have engaged in, and we may in the future need to engage in, equity or debt financing to secure additional funds, or we may opportunistically decide to raise capital. If we raise additional funds through further issuances of equity or convertible debt securities, our existing stockholders could suffer significant dilution, and any new equity or convertible debt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or refinancing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As a public company, we are subject to the reporting requirements of the Exchange Act, the Sarbanes-Oxley Act of 2002 (the “Sarbanes-Oxley Act”), the Dodd-Frank Wall Street Reform and Consumer Protection Act of 2010,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listing requirements of Nasdaq, and other applicable securities rules and regulations. Compliance with these rules and regulations increases our legal and financial compliance costs, makes some activities more difficult, time-consuming, or costly, and increases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on an annual basis. Additionally, our independent registered public accounting firm is required to attest to the effectiveness of our internal control over financial reporting pursuant to Section 404. As a result of the complexity involved in complying with the rules and regulations applicable to public companies, our management’s attention may be diverted from other business concerns, which could adversely affect our business and operating results. Although we have hired additional employees to assist us in complying with these requirements, we may need to hire more employees or engage outside consultants, which will increase our operating expenses.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In addition, as a public company we have been targeted by activist stockholders from time to time. Responding to actions by activist stockholders could be costly and time-consuming and could disrupt our operations and divert the attention of management and our employees. Additionally, perceived uncertainties as to our future direction as a result of stockholder activism, or changes to the composition of our Board,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then our business, financial condition and operating results would be adversely affected. In addition, our share price could experience periods of increased volatility as a result of stockholder activism.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Furthermore,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conditions, and operating results may be adversely affected.</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trading market for our common stock will depend in part on the research and reports that securities or industry analysts publish about us.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We may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process of designing and implementing internal control over financial reporting required to comply with Section 404 of the Sarbanes-Oxley Act has been and will continue to be time-consuming,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 to stockholder lawsuits, litigation or investigations by the stock exchange on which our securities are listed, the SEC, or other regulatory authorities, which could require additional financial and management resources, and cause investor perceptions to be adversely affected and potentially resulting in restatement of our financial statements for prior periods and a decline in the market price of our stock.</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Natural disasters, climate change, and other events beyond our control could harm our business.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Natural disasters, climate change, political instability, or other catastrophic events may cause damage or disruption to our operations, international commerce, and the global economy, and thus could have a strong negative effect on us. Our business operations are subject to interruption by natural disasters, climate-related events, pandemics, terrorism, political unrest, geopolitical instability, war, including the conflict in Iran and surrounding nations, and other events beyond our control. As we increasingly locate our business operations in countries outside of the U.S., our exposure to these risks may be heightened. Although we maintain crisis management and disaster response plans, such events could make it difficult or impossible for us to deliver our solutions to our customers, could decrease demand for our solutions, and could cause us to incur substantial expense. A significant portion of our research and development activities, corporate headquarters, information technology systems and other critical business operations are located in California, which has experienced, and is projected to continue to experience, major earthquakes, floods, droughts, heat waves, wildfires, and power shutoffs associated with wildfire prevention. Significant recovery time could be required to resume operations and our business could be harmed in the event of a major earthquake or other catastrophic event. Our insurance may not be sufficient to cover related losses or additional expenses that we may sustain. In addition, we may be subject to increased regulations, reporting requirements, standards, or expectations regarding the environmental impacts of our business, and failure to comply with such regulations, requirements, standards or expectations could adversely affect our reputation, business or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1440"/>
        <w:jc w:val="both"/>
        <w:rPr/>
      </w:pPr>
      <w:r>
        <w:rPr>
          <w:rFonts w:ascii="Arial;sans-serif" w:hAnsi="Arial;sans-serif"/>
          <w:b/>
          <w:color w:val="000000"/>
          <w:sz w:val="20"/>
        </w:rPr>
        <w:t>Item 2.    </w:t>
      </w:r>
      <w:r>
        <w:rPr>
          <w:rFonts w:ascii="Arial;sans-serif" w:hAnsi="Arial;sans-serif"/>
          <w:b/>
          <w:i/>
          <w:color w:val="000000"/>
          <w:sz w:val="20"/>
        </w:rPr>
        <w:t>Unregistered Sales of Equity Securities and Use of Proceeds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Use of Proceeds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None.</w:t>
      </w:r>
    </w:p>
    <w:p>
      <w:pPr>
        <w:pStyle w:val="TextBody"/>
        <w:bidi w:val="0"/>
        <w:spacing w:lineRule="auto" w:line="288" w:before="240" w:after="283"/>
        <w:jc w:val="both"/>
        <w:rPr>
          <w:rFonts w:ascii="Arial;sans-serif" w:hAnsi="Arial;sans-serif"/>
          <w:b/>
          <w:i/>
          <w:color w:val="000000"/>
          <w:sz w:val="20"/>
        </w:rPr>
      </w:pPr>
      <w:r>
        <w:rPr>
          <w:rFonts w:ascii="Arial;sans-serif" w:hAnsi="Arial;sans-serif"/>
          <w:b/>
          <w:i/>
          <w:color w:val="000000"/>
          <w:sz w:val="20"/>
        </w:rPr>
        <w:t>Issuer Purchases of Equity Securities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following table presents information with respect to our repurchases of common stock during the quarter ended June 30, 2026 (in thousands, except per share data):</w:t>
      </w:r>
    </w:p>
    <w:tbl>
      <w:tblPr>
        <w:tblW w:w="10205" w:type="dxa"/>
        <w:jc w:val="left"/>
        <w:tblInd w:w="0" w:type="dxa"/>
        <w:tblLayout w:type="fixed"/>
        <w:tblCellMar>
          <w:top w:w="28" w:type="dxa"/>
          <w:left w:w="28" w:type="dxa"/>
          <w:bottom w:w="28" w:type="dxa"/>
          <w:right w:w="28" w:type="dxa"/>
        </w:tblCellMar>
      </w:tblPr>
      <w:tblGrid>
        <w:gridCol w:w="312"/>
        <w:gridCol w:w="275"/>
        <w:gridCol w:w="276"/>
        <w:gridCol w:w="109"/>
        <w:gridCol w:w="109"/>
        <w:gridCol w:w="109"/>
        <w:gridCol w:w="559"/>
        <w:gridCol w:w="546"/>
        <w:gridCol w:w="548"/>
        <w:gridCol w:w="109"/>
        <w:gridCol w:w="109"/>
        <w:gridCol w:w="109"/>
        <w:gridCol w:w="288"/>
        <w:gridCol w:w="882"/>
        <w:gridCol w:w="148"/>
        <w:gridCol w:w="109"/>
        <w:gridCol w:w="109"/>
        <w:gridCol w:w="109"/>
        <w:gridCol w:w="740"/>
        <w:gridCol w:w="740"/>
        <w:gridCol w:w="742"/>
        <w:gridCol w:w="109"/>
        <w:gridCol w:w="109"/>
        <w:gridCol w:w="109"/>
        <w:gridCol w:w="489"/>
        <w:gridCol w:w="1987"/>
        <w:gridCol w:w="365"/>
      </w:tblGrid>
      <w:tr>
        <w:trPr/>
        <w:tc>
          <w:tcPr>
            <w:tcW w:w="31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Number of Shares Purchased and Retired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Average Price Paid Per Share</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Total Number of Shares Purchased as Part of Publicly Announced Program</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Approximate Dollar Value of Shares That May Yet Be Purchased Under Publicly Announced Program</w:t>
            </w:r>
            <w:r>
              <w:rPr>
                <w:rFonts w:ascii="Arial;sans-serif" w:hAnsi="Arial;sans-serif"/>
                <w:b/>
                <w:color w:val="000000"/>
                <w:sz w:val="10"/>
              </w:rPr>
              <w:t>(1)</w:t>
            </w:r>
          </w:p>
        </w:tc>
      </w:tr>
      <w:tr>
        <w:trPr/>
        <w:tc>
          <w:tcPr>
            <w:tcW w:w="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200,277 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194,818 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9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179,670 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1,246 </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both"/>
        <w:rPr/>
      </w:pPr>
      <w:r>
        <w:rPr>
          <w:rFonts w:ascii="Arial;sans-serif" w:hAnsi="Arial;sans-serif"/>
          <w:b w:val="false"/>
          <w:color w:val="000000"/>
          <w:sz w:val="13"/>
        </w:rPr>
        <w:t xml:space="preserve">(1) </w:t>
      </w:r>
      <w:r>
        <w:rPr>
          <w:rFonts w:ascii="Arial;sans-serif" w:hAnsi="Arial;sans-serif"/>
          <w:b w:val="false"/>
          <w:color w:val="000000"/>
          <w:sz w:val="20"/>
        </w:rPr>
        <w:t>Under the Company’s stock repurchase program, which authorizes the periodic repurchase of its common stock, the Board approved an increase to the stock repurchase program of an additional $100 million of common stock on March 13, 2026. This increased the total authorization for repurchases under the stock repurchase program from $400 million to $500 million. The repurchase program has no expiration date and may be suspended or discontinued at any time.</w:t>
      </w:r>
    </w:p>
    <w:p>
      <w:pPr>
        <w:pStyle w:val="TextBody"/>
        <w:bidi w:val="0"/>
        <w:spacing w:lineRule="auto" w:line="288" w:before="100" w:after="283"/>
        <w:ind w:left="0" w:right="0" w:hanging="180"/>
        <w:jc w:val="both"/>
        <w:rPr/>
      </w:pPr>
      <w:r>
        <w:rPr>
          <w:rFonts w:ascii="Arial;sans-serif" w:hAnsi="Arial;sans-serif"/>
          <w:b w:val="false"/>
          <w:color w:val="000000"/>
          <w:sz w:val="13"/>
        </w:rPr>
        <w:t xml:space="preserve">(2) </w:t>
      </w:r>
      <w:r>
        <w:rPr>
          <w:rFonts w:ascii="Arial;sans-serif" w:hAnsi="Arial;sans-serif"/>
          <w:b w:val="false"/>
          <w:color w:val="000000"/>
          <w:sz w:val="20"/>
        </w:rPr>
        <w:t>Average price paid per share excludes cash paid for commissions.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Repurchases may be made from time to time through open market repurchases or through privately-negotiated transactions subject to market conditions, applicable legal requirements, and other relevant factors. Open market repurchases may be structured to occur in accordance with the requirements of Rule 10b-18 of the Securities Exchange Act of 1934, as amended. We may also, from time to time, enter into Rule 10b5-1 plans to facilitate repurchases of our shares under this authorization. The repurchase program does not obligate us to acquire any particular amount of our common stock, and it may be suspended at any time in our discretion. The timing and actual number of shares repurchased may depend on a variety of factors, including price, general business and market conditions, and alternative investment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pPr>
      <w:r>
        <w:rPr>
          <w:rFonts w:ascii="Arial;sans-serif" w:hAnsi="Arial;sans-serif"/>
          <w:b/>
          <w:color w:val="000000"/>
          <w:sz w:val="20"/>
        </w:rPr>
        <w:t>Item 5.    </w:t>
      </w:r>
      <w:r>
        <w:rPr>
          <w:rFonts w:ascii="Arial;sans-serif" w:hAnsi="Arial;sans-serif"/>
          <w:b/>
          <w:i/>
          <w:color w:val="000000"/>
          <w:sz w:val="20"/>
        </w:rPr>
        <w:t>Other Information</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 xml:space="preserve">On June 3, 2026, Greg Hughes, a member of our Board of Directors, adopted a “Rule 10b5-1 trading arrangement”, as defined in Regulation S-K Item 408. The trading arrangement provides for the sale, from time to time, of an aggregate of up to 3,208 shares of our common stock, and is intended to satisfy the affirmative defense in Rule 10b5-1(c). The duration of the trading arrangement is until June 4, 2027 or earlier if all transactions under the trading arrangement have been completed. </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No other officers or directors, as defined in Rule 16a-1(f), adopted, modified, or terminated a Rule10b5-1 trading arrangement or non-Rule 10b5-1 trading arrangement, as defined in Regulation S-K Item 408,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6.    </w:t>
      </w:r>
      <w:r>
        <w:rPr>
          <w:rFonts w:ascii="Arial;sans-serif" w:hAnsi="Arial;sans-serif"/>
          <w:b/>
          <w:i/>
          <w:color w:val="000000"/>
          <w:sz w:val="20"/>
        </w:rPr>
        <w:t>Exhibits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The documents listed in the Exhibit Index of this Quarterly Report on Form 10-Q are incorporated by reference or are filed with this Quarterly Report on Form 10-Q, in each case as indicated therein (numbered in accordance with Item 601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98"/>
        <w:gridCol w:w="262"/>
        <w:gridCol w:w="263"/>
        <w:gridCol w:w="109"/>
        <w:gridCol w:w="109"/>
        <w:gridCol w:w="109"/>
        <w:gridCol w:w="1590"/>
        <w:gridCol w:w="1334"/>
        <w:gridCol w:w="1337"/>
        <w:gridCol w:w="109"/>
        <w:gridCol w:w="109"/>
        <w:gridCol w:w="109"/>
        <w:gridCol w:w="185"/>
        <w:gridCol w:w="185"/>
        <w:gridCol w:w="186"/>
        <w:gridCol w:w="109"/>
        <w:gridCol w:w="109"/>
        <w:gridCol w:w="109"/>
        <w:gridCol w:w="264"/>
        <w:gridCol w:w="264"/>
        <w:gridCol w:w="186"/>
        <w:gridCol w:w="109"/>
        <w:gridCol w:w="109"/>
        <w:gridCol w:w="109"/>
        <w:gridCol w:w="230"/>
        <w:gridCol w:w="230"/>
        <w:gridCol w:w="231"/>
        <w:gridCol w:w="109"/>
        <w:gridCol w:w="109"/>
        <w:gridCol w:w="109"/>
        <w:gridCol w:w="336"/>
        <w:gridCol w:w="242"/>
        <w:gridCol w:w="244"/>
        <w:gridCol w:w="109"/>
        <w:gridCol w:w="109"/>
        <w:gridCol w:w="109"/>
        <w:gridCol w:w="109"/>
        <w:gridCol w:w="109"/>
        <w:gridCol w:w="15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10.1</w:t>
            </w:r>
            <w:r>
              <w:rPr>
                <w:rFonts w:ascii="Arial;sans-serif" w:hAnsi="Arial;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Executive Consulting Agreement, dated July 31, 2026, by and between BlackLine Systems, Inc. and Therese Tucker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001-37924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20260630xex311.htm">
              <w:r>
                <w:rPr>
                  <w:rStyle w:val="InternetLink"/>
                  <w:rFonts w:ascii="Arial;sans-serif" w:hAnsi="Arial;sans-serif"/>
                  <w:b w:val="false"/>
                  <w:color w:val="0000FF"/>
                  <w:sz w:val="18"/>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20260630xex312.htm">
              <w:r>
                <w:rPr>
                  <w:rStyle w:val="InternetLink"/>
                  <w:rFonts w:ascii="Arial;sans-serif" w:hAnsi="Arial;sans-serif"/>
                  <w:b w:val="false"/>
                  <w:color w:val="0000FF"/>
                  <w:sz w:val="18"/>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20260630xex321.htm">
              <w:r>
                <w:rPr>
                  <w:rStyle w:val="InternetLink"/>
                  <w:rFonts w:ascii="Arial;sans-serif" w:hAnsi="Arial;sans-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80"/>
        <w:jc w:val="both"/>
        <w:rPr>
          <w:rFonts w:ascii="Arial;sans-serif" w:hAnsi="Arial;sans-serif"/>
          <w:b w:val="false"/>
          <w:color w:val="000000"/>
          <w:sz w:val="20"/>
        </w:rPr>
      </w:pPr>
      <w:r>
        <w:rPr>
          <w:rFonts w:ascii="Arial;sans-serif" w:hAnsi="Arial;sans-serif"/>
          <w:b w:val="false"/>
          <w:color w:val="000000"/>
          <w:sz w:val="20"/>
        </w:rPr>
        <w:t>*    The certifications attached as Exhibit 32.1 that accompany this Quarterly Report on Form 10-Q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68" w:before="120" w:after="283"/>
        <w:ind w:left="0" w:right="0" w:hanging="1080"/>
        <w:jc w:val="both"/>
        <w:rPr>
          <w:rFonts w:ascii="Arial;sans-serif" w:hAnsi="Arial;sans-serif"/>
          <w:b w:val="false"/>
          <w:color w:val="000000"/>
          <w:sz w:val="20"/>
        </w:rPr>
      </w:pPr>
      <w:r>
        <w:rPr>
          <w:rFonts w:ascii="Arial;sans-serif" w:hAnsi="Arial;sans-serif"/>
          <w:b w:val="false"/>
          <w:color w:val="000000"/>
          <w:sz w:val="20"/>
        </w:rPr>
        <w:t>+    Indicates management contract or compensatory plan.</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ind w:left="0" w:right="0" w:firstLine="495"/>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556" w:type="dxa"/>
        <w:jc w:val="left"/>
        <w:tblInd w:w="0" w:type="dxa"/>
        <w:tblLayout w:type="fixed"/>
        <w:tblCellMar>
          <w:top w:w="28" w:type="dxa"/>
          <w:left w:w="28" w:type="dxa"/>
          <w:bottom w:w="28" w:type="dxa"/>
          <w:right w:w="28" w:type="dxa"/>
        </w:tblCellMar>
      </w:tblPr>
      <w:tblGrid>
        <w:gridCol w:w="227"/>
        <w:gridCol w:w="199"/>
        <w:gridCol w:w="199"/>
        <w:gridCol w:w="199"/>
        <w:gridCol w:w="199"/>
        <w:gridCol w:w="199"/>
        <w:gridCol w:w="245"/>
        <w:gridCol w:w="245"/>
        <w:gridCol w:w="249"/>
        <w:gridCol w:w="758"/>
        <w:gridCol w:w="758"/>
        <w:gridCol w:w="1079"/>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BlackLine, Inc.</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Owen Ryan</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Owen Ryan</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4466" w:type="dxa"/>
        <w:jc w:val="left"/>
        <w:tblInd w:w="0" w:type="dxa"/>
        <w:tblLayout w:type="fixed"/>
        <w:tblCellMar>
          <w:top w:w="28" w:type="dxa"/>
          <w:left w:w="28" w:type="dxa"/>
          <w:bottom w:w="28" w:type="dxa"/>
          <w:right w:w="28" w:type="dxa"/>
        </w:tblCellMar>
      </w:tblPr>
      <w:tblGrid>
        <w:gridCol w:w="227"/>
        <w:gridCol w:w="199"/>
        <w:gridCol w:w="199"/>
        <w:gridCol w:w="199"/>
        <w:gridCol w:w="199"/>
        <w:gridCol w:w="199"/>
        <w:gridCol w:w="245"/>
        <w:gridCol w:w="245"/>
        <w:gridCol w:w="249"/>
        <w:gridCol w:w="734"/>
        <w:gridCol w:w="734"/>
        <w:gridCol w:w="1037"/>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Villanova</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Villanova</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r>
        <w:trPr/>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EXCHANGE ACT RULES 13a-14(a) AND 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Owen Ryan, certify that: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BlackLine, Inc.;</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tbl>
      <w:tblPr>
        <w:tblW w:w="5233" w:type="dxa"/>
        <w:jc w:val="left"/>
        <w:tblInd w:w="0" w:type="dxa"/>
        <w:tblLayout w:type="fixed"/>
        <w:tblCellMar>
          <w:top w:w="28" w:type="dxa"/>
          <w:left w:w="28" w:type="dxa"/>
          <w:bottom w:w="28" w:type="dxa"/>
          <w:right w:w="28" w:type="dxa"/>
        </w:tblCellMar>
      </w:tblPr>
      <w:tblGrid>
        <w:gridCol w:w="711"/>
        <w:gridCol w:w="624"/>
        <w:gridCol w:w="630"/>
        <w:gridCol w:w="223"/>
        <w:gridCol w:w="223"/>
        <w:gridCol w:w="228"/>
        <w:gridCol w:w="759"/>
        <w:gridCol w:w="759"/>
        <w:gridCol w:w="1076"/>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BLACKLINE,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Owen Ryan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Owen Ryan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EXCHANGE ACT RULES 13a-14(a) AND 15d-14(a),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Patrick Villanova, certify that: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BlackLine, Inc.;</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jc w:val="left"/>
        <w:rPr/>
      </w:pPr>
      <w:r>
        <w:rPr/>
      </w:r>
    </w:p>
    <w:tbl>
      <w:tblPr>
        <w:tblW w:w="5144" w:type="dxa"/>
        <w:jc w:val="left"/>
        <w:tblInd w:w="0" w:type="dxa"/>
        <w:tblLayout w:type="fixed"/>
        <w:tblCellMar>
          <w:top w:w="28" w:type="dxa"/>
          <w:left w:w="28" w:type="dxa"/>
          <w:bottom w:w="28" w:type="dxa"/>
          <w:right w:w="28" w:type="dxa"/>
        </w:tblCellMar>
      </w:tblPr>
      <w:tblGrid>
        <w:gridCol w:w="711"/>
        <w:gridCol w:w="624"/>
        <w:gridCol w:w="630"/>
        <w:gridCol w:w="223"/>
        <w:gridCol w:w="223"/>
        <w:gridCol w:w="228"/>
        <w:gridCol w:w="733"/>
        <w:gridCol w:w="733"/>
        <w:gridCol w:w="103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BLACKLINE,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Patrick Villanova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Patrick Villanova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CERTIFICATIONS OF PRINCIPAL EXECUTIVE OFFICER AND PRINCIPAL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I, Owen Ryan, certify, pursuant to 18 U.S.C. Section 1350, as adopted pursuant to Section 906 of the Sarbanes-Oxley Act of 2002, that the Quarterly Report on Form 10-Q of BlackLine, Inc.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BlackLine, Inc.</w:t>
      </w:r>
    </w:p>
    <w:tbl>
      <w:tblPr>
        <w:tblW w:w="5234" w:type="dxa"/>
        <w:jc w:val="left"/>
        <w:tblInd w:w="0" w:type="dxa"/>
        <w:tblLayout w:type="fixed"/>
        <w:tblCellMar>
          <w:top w:w="28" w:type="dxa"/>
          <w:left w:w="28" w:type="dxa"/>
          <w:bottom w:w="28" w:type="dxa"/>
          <w:right w:w="28" w:type="dxa"/>
        </w:tblCellMar>
      </w:tblPr>
      <w:tblGrid>
        <w:gridCol w:w="711"/>
        <w:gridCol w:w="624"/>
        <w:gridCol w:w="630"/>
        <w:gridCol w:w="223"/>
        <w:gridCol w:w="223"/>
        <w:gridCol w:w="228"/>
        <w:gridCol w:w="759"/>
        <w:gridCol w:w="759"/>
        <w:gridCol w:w="107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Owen Ryan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Owen Ryan</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br/>
              <w:t>(Principal Executive Officer)</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 Patrick Villanova, certify, pursuant to 18 U.S.C. Section 1350, as adopted pursuant to Section 906 of the Sarbanes-Oxley Act of 2002, that the Quarterly Report on Form 10-Q of BlackLine, Inc.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BlackLine, Inc.</w:t>
      </w:r>
    </w:p>
    <w:tbl>
      <w:tblPr>
        <w:tblW w:w="5144" w:type="dxa"/>
        <w:jc w:val="left"/>
        <w:tblInd w:w="0" w:type="dxa"/>
        <w:tblLayout w:type="fixed"/>
        <w:tblCellMar>
          <w:top w:w="28" w:type="dxa"/>
          <w:left w:w="28" w:type="dxa"/>
          <w:bottom w:w="28" w:type="dxa"/>
          <w:right w:w="28" w:type="dxa"/>
        </w:tblCellMar>
      </w:tblPr>
      <w:tblGrid>
        <w:gridCol w:w="711"/>
        <w:gridCol w:w="624"/>
        <w:gridCol w:w="630"/>
        <w:gridCol w:w="223"/>
        <w:gridCol w:w="223"/>
        <w:gridCol w:w="228"/>
        <w:gridCol w:w="734"/>
        <w:gridCol w:w="734"/>
        <w:gridCol w:w="103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5, 2026</w:t>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Villanova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Villanova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b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6134/000162828026051856/ex10120260731consultingagr.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40021</Words>
  <Characters>225726</Characters>
  <CharactersWithSpaces>263754</CharactersWithSpaces>
  <Paragraphs>3328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