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0001771433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7"/>
        <w:gridCol w:w="4108"/>
      </w:tblGrid>
      <w:tr>
        <w:trPr/>
        <w:tc>
          <w:tcPr>
            <w:tcW w:w="6097" w:type="dxa"/>
            <w:tcBorders/>
            <w:vAlign w:val="center"/>
          </w:tcPr>
          <w:p>
            <w:pPr>
              <w:pStyle w:val="TableContents"/>
              <w:bidi w:val="0"/>
              <w:spacing w:before="0" w:after="283"/>
              <w:jc w:val="left"/>
              <w:rPr/>
            </w:pPr>
            <w:r>
              <w:rPr/>
              <w:t>Name of Issuer</w:t>
            </w:r>
          </w:p>
        </w:tc>
        <w:tc>
          <w:tcPr>
            <w:tcW w:w="4108" w:type="dxa"/>
            <w:tcBorders/>
            <w:vAlign w:val="center"/>
          </w:tcPr>
          <w:p>
            <w:pPr>
              <w:pStyle w:val="TableContents"/>
              <w:bidi w:val="0"/>
              <w:spacing w:before="0" w:after="0"/>
              <w:jc w:val="left"/>
              <w:rPr/>
            </w:pPr>
            <w:r>
              <w:rPr/>
              <w:t>BLACKLINE, INC.</w:t>
            </w:r>
          </w:p>
        </w:tc>
      </w:tr>
      <w:tr>
        <w:trPr/>
        <w:tc>
          <w:tcPr>
            <w:tcW w:w="6097" w:type="dxa"/>
            <w:tcBorders/>
            <w:vAlign w:val="center"/>
          </w:tcPr>
          <w:p>
            <w:pPr>
              <w:pStyle w:val="TableContents"/>
              <w:bidi w:val="0"/>
              <w:spacing w:before="0" w:after="283"/>
              <w:jc w:val="left"/>
              <w:rPr/>
            </w:pPr>
            <w:r>
              <w:rPr/>
              <w:t>SEC File Number</w:t>
            </w:r>
          </w:p>
        </w:tc>
        <w:tc>
          <w:tcPr>
            <w:tcW w:w="4108" w:type="dxa"/>
            <w:tcBorders/>
            <w:vAlign w:val="center"/>
          </w:tcPr>
          <w:p>
            <w:pPr>
              <w:pStyle w:val="TableContents"/>
              <w:bidi w:val="0"/>
              <w:spacing w:before="0" w:after="0"/>
              <w:jc w:val="left"/>
              <w:rPr/>
            </w:pPr>
            <w:r>
              <w:rPr/>
              <w:t>001-37924</w:t>
            </w:r>
          </w:p>
        </w:tc>
      </w:tr>
      <w:tr>
        <w:trPr/>
        <w:tc>
          <w:tcPr>
            <w:tcW w:w="6097" w:type="dxa"/>
            <w:tcBorders/>
            <w:vAlign w:val="center"/>
          </w:tcPr>
          <w:p>
            <w:pPr>
              <w:pStyle w:val="TableContents"/>
              <w:bidi w:val="0"/>
              <w:spacing w:before="0" w:after="283"/>
              <w:jc w:val="left"/>
              <w:rPr/>
            </w:pPr>
            <w:r>
              <w:rPr/>
              <w:t>Address of Issuer</w:t>
            </w:r>
          </w:p>
        </w:tc>
        <w:tc>
          <w:tcPr>
            <w:tcW w:w="4108" w:type="dxa"/>
            <w:tcBorders/>
            <w:vAlign w:val="center"/>
          </w:tcPr>
          <w:p>
            <w:pPr>
              <w:pStyle w:val="TableContents"/>
              <w:bidi w:val="0"/>
              <w:spacing w:before="0" w:after="0"/>
              <w:jc w:val="left"/>
              <w:rPr/>
            </w:pPr>
            <w:r>
              <w:rPr/>
              <w:t>21300 VICTORY BOULEVARD</w:t>
              <w:br/>
              <w:t>12TH FLOOR</w:t>
              <w:br/>
              <w:t>WOODLAND HILLS</w:t>
              <w:br/>
              <w:t xml:space="preserve">CALIFORNIA </w:t>
              <w:br/>
              <w:t>91367</w:t>
            </w:r>
          </w:p>
        </w:tc>
      </w:tr>
      <w:tr>
        <w:trPr/>
        <w:tc>
          <w:tcPr>
            <w:tcW w:w="6097" w:type="dxa"/>
            <w:tcBorders/>
            <w:vAlign w:val="center"/>
          </w:tcPr>
          <w:p>
            <w:pPr>
              <w:pStyle w:val="TableContents"/>
              <w:bidi w:val="0"/>
              <w:spacing w:before="0" w:after="283"/>
              <w:jc w:val="left"/>
              <w:rPr/>
            </w:pPr>
            <w:r>
              <w:rPr/>
              <w:t>Phone</w:t>
            </w:r>
          </w:p>
        </w:tc>
        <w:tc>
          <w:tcPr>
            <w:tcW w:w="4108" w:type="dxa"/>
            <w:tcBorders/>
            <w:vAlign w:val="center"/>
          </w:tcPr>
          <w:p>
            <w:pPr>
              <w:pStyle w:val="TableContents"/>
              <w:bidi w:val="0"/>
              <w:spacing w:before="0" w:after="0"/>
              <w:jc w:val="left"/>
              <w:rPr/>
            </w:pPr>
            <w:r>
              <w:rPr/>
              <w:t>818-223-9008</w:t>
            </w:r>
          </w:p>
        </w:tc>
      </w:tr>
      <w:tr>
        <w:trPr/>
        <w:tc>
          <w:tcPr>
            <w:tcW w:w="6097" w:type="dxa"/>
            <w:tcBorders/>
            <w:vAlign w:val="center"/>
          </w:tcPr>
          <w:p>
            <w:pPr>
              <w:pStyle w:val="TableContents"/>
              <w:bidi w:val="0"/>
              <w:spacing w:before="0" w:after="283"/>
              <w:jc w:val="left"/>
              <w:rPr/>
            </w:pPr>
            <w:r>
              <w:rPr/>
              <w:t>Name of Person for Whose Account the Securities are To Be Sold</w:t>
            </w:r>
          </w:p>
        </w:tc>
        <w:tc>
          <w:tcPr>
            <w:tcW w:w="4108" w:type="dxa"/>
            <w:tcBorders/>
            <w:vAlign w:val="center"/>
          </w:tcPr>
          <w:p>
            <w:pPr>
              <w:pStyle w:val="TableContents"/>
              <w:bidi w:val="0"/>
              <w:spacing w:before="0" w:after="0"/>
              <w:jc w:val="left"/>
              <w:rPr/>
            </w:pPr>
            <w:r>
              <w:rPr/>
              <w:t>Yamamoto Mika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w:t>
            </w:r>
          </w:p>
        </w:tc>
        <w:tc>
          <w:tcPr>
            <w:tcW w:w="1377" w:type="dxa"/>
            <w:tcBorders/>
            <w:vAlign w:val="center"/>
          </w:tcPr>
          <w:p>
            <w:pPr>
              <w:pStyle w:val="TableContents"/>
              <w:bidi w:val="0"/>
              <w:spacing w:before="0" w:after="283"/>
              <w:jc w:val="left"/>
              <w:rPr/>
            </w:pPr>
            <w:r>
              <w:rPr/>
              <w:t>85425.60</w:t>
            </w:r>
          </w:p>
        </w:tc>
        <w:tc>
          <w:tcPr>
            <w:tcW w:w="1552" w:type="dxa"/>
            <w:tcBorders/>
            <w:vAlign w:val="center"/>
          </w:tcPr>
          <w:p>
            <w:pPr>
              <w:pStyle w:val="TableContents"/>
              <w:bidi w:val="0"/>
              <w:spacing w:before="0" w:after="283"/>
              <w:jc w:val="left"/>
              <w:rPr/>
            </w:pPr>
            <w:r>
              <w:rPr/>
              <w:t>58660917</w:t>
            </w:r>
          </w:p>
        </w:tc>
        <w:tc>
          <w:tcPr>
            <w:tcW w:w="1567" w:type="dxa"/>
            <w:tcBorders/>
            <w:vAlign w:val="center"/>
          </w:tcPr>
          <w:p>
            <w:pPr>
              <w:pStyle w:val="TableContents"/>
              <w:bidi w:val="0"/>
              <w:spacing w:before="0" w:after="283"/>
              <w:jc w:val="left"/>
              <w:rPr/>
            </w:pPr>
            <w:r>
              <w:rPr/>
              <w:t>06/05/2026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3000</w:t>
            </w:r>
          </w:p>
        </w:tc>
        <w:tc>
          <w:tcPr>
            <w:tcW w:w="1046" w:type="dxa"/>
            <w:tcBorders/>
            <w:vAlign w:val="center"/>
          </w:tcPr>
          <w:p>
            <w:pPr>
              <w:pStyle w:val="TableContents"/>
              <w:bidi w:val="0"/>
              <w:spacing w:before="0" w:after="283"/>
              <w:jc w:val="left"/>
              <w:rPr/>
            </w:pPr>
            <w:r>
              <w:rPr/>
              <w:t>05/08/2024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Adam Gehring, as a duly authorized representative of Fidelity Brokerage Services LLC, as attorney-in-fact for Mika Y. Yamamoto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2993</Characters>
  <CharactersWithSpaces>3525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